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B480A" w14:textId="77777777" w:rsidR="00273024" w:rsidRPr="00273024" w:rsidRDefault="00273024" w:rsidP="00273024">
      <w:pPr>
        <w:pStyle w:val="Default"/>
        <w:spacing w:before="120"/>
        <w:rPr>
          <w:rFonts w:ascii="Arial" w:hAnsi="Arial" w:cs="Arial"/>
          <w:b/>
          <w:bCs/>
        </w:rPr>
      </w:pPr>
      <w:r w:rsidRPr="00273024">
        <w:rPr>
          <w:rFonts w:ascii="Arial" w:hAnsi="Arial" w:cs="Arial"/>
          <w:b/>
          <w:bCs/>
        </w:rPr>
        <w:t>Corte Suprema de Justicia de la República</w:t>
      </w:r>
    </w:p>
    <w:p w14:paraId="0F4778A2" w14:textId="77777777" w:rsidR="00273024" w:rsidRPr="00273024" w:rsidRDefault="00273024" w:rsidP="00273024">
      <w:pPr>
        <w:pStyle w:val="Default"/>
        <w:spacing w:before="120"/>
        <w:jc w:val="right"/>
        <w:rPr>
          <w:rFonts w:ascii="Arial" w:hAnsi="Arial" w:cs="Arial"/>
          <w:b/>
          <w:bCs/>
        </w:rPr>
      </w:pPr>
      <w:r w:rsidRPr="00273024">
        <w:rPr>
          <w:rFonts w:ascii="Arial" w:hAnsi="Arial" w:cs="Arial"/>
          <w:b/>
          <w:bCs/>
        </w:rPr>
        <w:t>Sala Penal Transitoria</w:t>
      </w:r>
    </w:p>
    <w:p w14:paraId="43EB9FE4" w14:textId="77777777" w:rsidR="00273024" w:rsidRPr="00273024" w:rsidRDefault="00273024" w:rsidP="00273024">
      <w:pPr>
        <w:pStyle w:val="Default"/>
        <w:spacing w:before="120"/>
        <w:jc w:val="right"/>
        <w:rPr>
          <w:rFonts w:ascii="Arial" w:hAnsi="Arial" w:cs="Arial"/>
          <w:b/>
          <w:bCs/>
        </w:rPr>
      </w:pPr>
      <w:r w:rsidRPr="00273024">
        <w:rPr>
          <w:rFonts w:ascii="Arial" w:hAnsi="Arial" w:cs="Arial"/>
          <w:b/>
          <w:bCs/>
        </w:rPr>
        <w:t>Recurso de Nulidad N.° 1373-2023-Lima Este</w:t>
      </w:r>
    </w:p>
    <w:p w14:paraId="4161BAC8" w14:textId="77777777" w:rsidR="00273024" w:rsidRPr="00273024" w:rsidRDefault="00273024" w:rsidP="00273024">
      <w:pPr>
        <w:pStyle w:val="Default"/>
        <w:spacing w:before="120"/>
        <w:ind w:left="3402"/>
        <w:jc w:val="both"/>
        <w:rPr>
          <w:rFonts w:ascii="Arial" w:hAnsi="Arial" w:cs="Arial"/>
          <w:b/>
          <w:bCs/>
        </w:rPr>
      </w:pPr>
      <w:r w:rsidRPr="00273024">
        <w:rPr>
          <w:rFonts w:ascii="Arial" w:hAnsi="Arial" w:cs="Arial"/>
          <w:b/>
          <w:bCs/>
        </w:rPr>
        <w:t>Error de tipo por razón de edad de la menor agraviada, requiere corroboración objetiva.</w:t>
      </w:r>
    </w:p>
    <w:p w14:paraId="5D475309" w14:textId="77777777" w:rsidR="00273024" w:rsidRPr="00273024" w:rsidRDefault="00273024" w:rsidP="00273024">
      <w:pPr>
        <w:pStyle w:val="Default"/>
        <w:spacing w:before="120"/>
        <w:ind w:left="3402"/>
        <w:jc w:val="both"/>
        <w:rPr>
          <w:rFonts w:ascii="Arial" w:hAnsi="Arial" w:cs="Arial"/>
        </w:rPr>
      </w:pPr>
      <w:r w:rsidRPr="00273024">
        <w:rPr>
          <w:rFonts w:ascii="Arial" w:hAnsi="Arial" w:cs="Arial"/>
          <w:b/>
          <w:bCs/>
        </w:rPr>
        <w:t xml:space="preserve">Sumilla. </w:t>
      </w:r>
      <w:r w:rsidRPr="00273024">
        <w:rPr>
          <w:rFonts w:ascii="Arial" w:hAnsi="Arial" w:cs="Arial"/>
        </w:rPr>
        <w:t>Para aplicar el error de tipo, por razón de la edad, no basta con las declaraciones del procesado o agraviada, sino que, requiere de corroboración adicional –corroboración objetiva–. En ese sentido, el juzgador deberá examinar la configuración del error de tipo (vencible o invencible), en contraste con las máximas de la experiencia: i) el rol social del imputado; ii) las circunstancias del hecho; iii) a situación de vulnerabilidad de la menor y las normas culturales del lugar; iv) la capacidad intelectiva, discernimiento y percepción del imputado.</w:t>
      </w:r>
    </w:p>
    <w:p w14:paraId="14496BF2" w14:textId="77777777" w:rsidR="00273024" w:rsidRPr="00273024" w:rsidRDefault="00273024" w:rsidP="00273024">
      <w:pPr>
        <w:pStyle w:val="Default"/>
        <w:spacing w:before="120"/>
        <w:jc w:val="both"/>
        <w:rPr>
          <w:rFonts w:ascii="Arial" w:hAnsi="Arial" w:cs="Arial"/>
        </w:rPr>
      </w:pPr>
      <w:r w:rsidRPr="00273024">
        <w:rPr>
          <w:rFonts w:ascii="Arial" w:hAnsi="Arial" w:cs="Arial"/>
        </w:rPr>
        <w:t>Lima, trece de octubre de dos mil veinticinco</w:t>
      </w:r>
    </w:p>
    <w:p w14:paraId="5FBED710"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Visto: </w:t>
      </w:r>
      <w:r w:rsidRPr="00273024">
        <w:rPr>
          <w:rFonts w:ascii="Arial" w:hAnsi="Arial" w:cs="Arial"/>
        </w:rPr>
        <w:t xml:space="preserve">el recurso de nulidad interpuesto por el procesado </w:t>
      </w:r>
      <w:r w:rsidRPr="00273024">
        <w:rPr>
          <w:rFonts w:ascii="Arial" w:hAnsi="Arial" w:cs="Arial"/>
          <w:b/>
          <w:bCs/>
        </w:rPr>
        <w:t xml:space="preserve">Jamer Lino Sulca Inga </w:t>
      </w:r>
      <w:r w:rsidRPr="00273024">
        <w:rPr>
          <w:rFonts w:ascii="Arial" w:hAnsi="Arial" w:cs="Arial"/>
        </w:rPr>
        <w:t>contra la sentencia del tres de octubre de dos mil veintidós (foja 350) emitida por la Primera Sala Penal de Apelaciones de Ate de la Corte Superior de Justicia de Lima Este, que lo condenó como autor del delito contra la libertad sexual-violación sexual de menor de edad, en agravio de la menor identificada con las iniciales L. Ñ. P., a treinta años de pena privativa de libertad, fijó en S/ 5000,00 (cinco mil soles) el monto por concepto de reparación civil y dispuso su tratamiento terapéutico, previo examen médico y psicológico, para facilitar su readaptación social.</w:t>
      </w:r>
    </w:p>
    <w:p w14:paraId="374D6AD6" w14:textId="77777777" w:rsidR="00273024" w:rsidRPr="00273024" w:rsidRDefault="00273024" w:rsidP="00273024">
      <w:pPr>
        <w:pStyle w:val="Default"/>
        <w:spacing w:before="120"/>
        <w:jc w:val="both"/>
        <w:rPr>
          <w:rFonts w:ascii="Arial" w:hAnsi="Arial" w:cs="Arial"/>
        </w:rPr>
      </w:pPr>
      <w:r w:rsidRPr="00273024">
        <w:rPr>
          <w:rFonts w:ascii="Arial" w:hAnsi="Arial" w:cs="Arial"/>
        </w:rPr>
        <w:t>De conformidad en parte con el dictamen del señor fiscal supremo de familia.</w:t>
      </w:r>
    </w:p>
    <w:p w14:paraId="30086E68"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Intervino como ponente la señora jueza suprema </w:t>
      </w:r>
      <w:r w:rsidRPr="00273024">
        <w:rPr>
          <w:rFonts w:ascii="Arial" w:hAnsi="Arial" w:cs="Arial"/>
          <w:b/>
          <w:bCs/>
        </w:rPr>
        <w:t>Baca Cabrera</w:t>
      </w:r>
      <w:r w:rsidRPr="00273024">
        <w:rPr>
          <w:rFonts w:ascii="Arial" w:hAnsi="Arial" w:cs="Arial"/>
        </w:rPr>
        <w:t>.</w:t>
      </w:r>
    </w:p>
    <w:p w14:paraId="4E805D61" w14:textId="77777777" w:rsidR="00273024" w:rsidRPr="00273024" w:rsidRDefault="00273024" w:rsidP="00273024">
      <w:pPr>
        <w:pStyle w:val="Default"/>
        <w:spacing w:before="120"/>
        <w:jc w:val="center"/>
        <w:rPr>
          <w:rFonts w:ascii="Arial" w:hAnsi="Arial" w:cs="Arial"/>
          <w:b/>
          <w:bCs/>
        </w:rPr>
      </w:pPr>
      <w:r w:rsidRPr="00273024">
        <w:rPr>
          <w:rFonts w:ascii="Arial" w:hAnsi="Arial" w:cs="Arial"/>
          <w:b/>
          <w:bCs/>
        </w:rPr>
        <w:t>Considerando</w:t>
      </w:r>
    </w:p>
    <w:p w14:paraId="2D8B24A9"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Primero. Imputación fáctica</w:t>
      </w:r>
    </w:p>
    <w:p w14:paraId="4E0A39BD" w14:textId="77777777" w:rsidR="00273024" w:rsidRPr="00273024" w:rsidRDefault="00273024" w:rsidP="00273024">
      <w:pPr>
        <w:pStyle w:val="Default"/>
        <w:spacing w:before="120"/>
        <w:jc w:val="both"/>
        <w:rPr>
          <w:rFonts w:ascii="Arial" w:hAnsi="Arial" w:cs="Arial"/>
        </w:rPr>
      </w:pPr>
      <w:r w:rsidRPr="00273024">
        <w:rPr>
          <w:rFonts w:ascii="Arial" w:hAnsi="Arial" w:cs="Arial"/>
        </w:rPr>
        <w:t>1.1. Según la acusación fiscal</w:t>
      </w:r>
      <w:r w:rsidRPr="00273024">
        <w:rPr>
          <w:rFonts w:ascii="Arial" w:hAnsi="Arial" w:cs="Arial"/>
          <w:vertAlign w:val="superscript"/>
        </w:rPr>
        <w:t>1</w:t>
      </w:r>
      <w:r w:rsidRPr="00273024">
        <w:rPr>
          <w:rFonts w:ascii="Arial" w:hAnsi="Arial" w:cs="Arial"/>
        </w:rPr>
        <w:t xml:space="preserve"> de fecha doce de enero de dos mil veintiuno, se imputa al procesado, </w:t>
      </w:r>
      <w:r w:rsidRPr="00273024">
        <w:rPr>
          <w:rFonts w:ascii="Arial" w:hAnsi="Arial" w:cs="Arial"/>
          <w:b/>
          <w:bCs/>
        </w:rPr>
        <w:t xml:space="preserve">Jamer Lino Sulca Inga (32), </w:t>
      </w:r>
      <w:r w:rsidRPr="00273024">
        <w:rPr>
          <w:rFonts w:ascii="Arial" w:hAnsi="Arial" w:cs="Arial"/>
        </w:rPr>
        <w:t xml:space="preserve">haber mantenido relaciones sexuales por vía vaginal y anal con la menor identificada con las iniciales L. Ñ. P. de doce años de edad, en razón que, día </w:t>
      </w:r>
      <w:r w:rsidRPr="00273024">
        <w:rPr>
          <w:rFonts w:ascii="Arial" w:hAnsi="Arial" w:cs="Arial"/>
          <w:b/>
          <w:bCs/>
        </w:rPr>
        <w:t>veintiuno de enero de dos mil diecinueve</w:t>
      </w:r>
      <w:r w:rsidRPr="00273024">
        <w:rPr>
          <w:rFonts w:ascii="Arial" w:hAnsi="Arial" w:cs="Arial"/>
        </w:rPr>
        <w:t xml:space="preserve">, a las 14:00 horas aproximadamente, en el interior del mototaxi de placa 9066-1D, conducido por el acusado, en el lugar conocido como Valle, ubicado en el parque de reserva contiguo a la zona Valle del Triunfo en el Asentamiento Humano Basilio Auqui, distrito de Lurigancho Chosica; en circunstancias que la adolescente asistía al curso de reforzamiento en el colegio, el procesado fue a recogerla a las 11:10 horas, para después llevarla al lugar conocido como Valle donde la abrazó y la besó en el asiento posterior del vehículo menor, pidiendo a la adolescente tener intimidad y ante su negativa, </w:t>
      </w:r>
      <w:r w:rsidRPr="00273024">
        <w:rPr>
          <w:rFonts w:ascii="Arial" w:hAnsi="Arial" w:cs="Arial"/>
        </w:rPr>
        <w:lastRenderedPageBreak/>
        <w:t>ejerció fuerza física al bajarle el pantalón de buzo y su ropa interior para después bajarse el pantalón y ponerse encima de ella para penetrarla en vía vaginal y anal.</w:t>
      </w:r>
    </w:p>
    <w:p w14:paraId="7955F966"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1.2. Calificación jurídica</w:t>
      </w:r>
    </w:p>
    <w:p w14:paraId="724DB3EA" w14:textId="77777777" w:rsidR="00273024" w:rsidRPr="00273024" w:rsidRDefault="00273024" w:rsidP="00273024">
      <w:pPr>
        <w:pStyle w:val="Default"/>
        <w:spacing w:before="120"/>
        <w:jc w:val="both"/>
        <w:rPr>
          <w:rFonts w:ascii="Arial" w:hAnsi="Arial" w:cs="Arial"/>
        </w:rPr>
      </w:pPr>
      <w:r w:rsidRPr="00273024">
        <w:rPr>
          <w:rFonts w:ascii="Arial" w:hAnsi="Arial" w:cs="Arial"/>
        </w:rPr>
        <w:t>En cuanto a la calificación jurídica, el titular de la acción penal postuló la configuración del delito contra la libertad sexual-violación sexual de menor de edad, previsto y sancionado en el artículo 173 del Código Penal (bajo los alcances de la Ley 30838</w:t>
      </w:r>
      <w:r w:rsidRPr="00273024">
        <w:rPr>
          <w:rFonts w:ascii="Arial" w:hAnsi="Arial" w:cs="Arial"/>
          <w:vertAlign w:val="superscript"/>
        </w:rPr>
        <w:t>2</w:t>
      </w:r>
      <w:r w:rsidRPr="00273024">
        <w:rPr>
          <w:rFonts w:ascii="Arial" w:hAnsi="Arial" w:cs="Arial"/>
        </w:rPr>
        <w:t>).</w:t>
      </w:r>
    </w:p>
    <w:p w14:paraId="29FC0D92" w14:textId="77777777" w:rsidR="00273024" w:rsidRPr="00273024" w:rsidRDefault="00273024" w:rsidP="00273024">
      <w:pPr>
        <w:pStyle w:val="Default"/>
        <w:spacing w:before="120"/>
        <w:jc w:val="both"/>
        <w:rPr>
          <w:rFonts w:ascii="Arial" w:hAnsi="Arial" w:cs="Arial"/>
          <w:b/>
          <w:bCs/>
          <w:i/>
          <w:iCs/>
        </w:rPr>
      </w:pPr>
      <w:r w:rsidRPr="00273024">
        <w:rPr>
          <w:rFonts w:ascii="Arial" w:hAnsi="Arial" w:cs="Arial"/>
          <w:b/>
          <w:bCs/>
          <w:i/>
          <w:iCs/>
        </w:rPr>
        <w:t>Artículo 173. Violación de sexual de menor de edad</w:t>
      </w:r>
    </w:p>
    <w:p w14:paraId="45A173BA"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El que tiene acceso carnal por vía vaginal, anal o bucal o realiza cualquier acto análogo con la introducción de un objeto o parte del cuerpo por alguna de las dos primeras, con un menor de catorce años, será reprimido con pena de cadena perpetua.</w:t>
      </w:r>
    </w:p>
    <w:p w14:paraId="5DE190AB"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Delimitación del recurso impugnatorio</w:t>
      </w:r>
    </w:p>
    <w:p w14:paraId="3177D1C1"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Segundo. </w:t>
      </w:r>
      <w:r w:rsidRPr="00273024">
        <w:rPr>
          <w:rFonts w:ascii="Arial" w:hAnsi="Arial" w:cs="Arial"/>
        </w:rPr>
        <w:t>La defensa del sentenciado Jamer Lino Sulca Inga, en su recurso de nulidad del siete de noviembre de dos mil veintidós, a foja 373, solicita se declare la nulidad de la sentencia de fecha tres de octubre de dos mil veintidós, puntualizando lo siguiente:</w:t>
      </w:r>
    </w:p>
    <w:p w14:paraId="5CB6A696" w14:textId="77777777" w:rsidR="00273024" w:rsidRPr="00273024" w:rsidRDefault="00273024" w:rsidP="00273024">
      <w:pPr>
        <w:pStyle w:val="Default"/>
        <w:spacing w:before="120"/>
        <w:jc w:val="both"/>
        <w:rPr>
          <w:rFonts w:ascii="Arial" w:hAnsi="Arial" w:cs="Arial"/>
        </w:rPr>
      </w:pPr>
      <w:r w:rsidRPr="00273024">
        <w:rPr>
          <w:rFonts w:ascii="Arial" w:hAnsi="Arial" w:cs="Arial"/>
        </w:rPr>
        <w:t>2.1. Se ha vulnerado la Ley 28122, Ley de Conclusión Anticipada, ello por cuanto no se le dio la oportunidad al procesado de aceptar o no dicho instituto procesal.</w:t>
      </w:r>
    </w:p>
    <w:p w14:paraId="6621C1A6" w14:textId="77777777" w:rsidR="00273024" w:rsidRPr="00273024" w:rsidRDefault="00273024" w:rsidP="00273024">
      <w:pPr>
        <w:pStyle w:val="Default"/>
        <w:spacing w:before="120"/>
        <w:jc w:val="both"/>
        <w:rPr>
          <w:rFonts w:ascii="Arial" w:hAnsi="Arial" w:cs="Arial"/>
        </w:rPr>
      </w:pPr>
      <w:r w:rsidRPr="00273024">
        <w:rPr>
          <w:rFonts w:ascii="Arial" w:hAnsi="Arial" w:cs="Arial"/>
        </w:rPr>
        <w:t>2.2. Refiere vulneración del derecho de prueba por cuanto no se le admitió prueba personal y prueba documental ofrecida como descargo, también indica vulneración del derecho a la actuación probatoria, la comunidad de la prueba y la verdad judicial, por cuanto el juez ponente declaró fundadas todas las objeciones realizadas por el Ministerio Público, también señala que la defensa fue sometida –obligada– pretorianamente a participar en la diligencia del diecinueve de septiembre de dos mil veintidós, pese a que anteriormente había puesto en conocimiento que en la misma hora tenía una declaración de un investigado en una investigación ante la fiscalía, por lo que la defensa tuvo que participar en ambas diligencias a la vez, lo que impidió que se concentre, no pudiendo realizar un adecuado contrainterrogatorio del otorgante del certificado médico legal.</w:t>
      </w:r>
    </w:p>
    <w:p w14:paraId="380EF27E" w14:textId="77777777" w:rsidR="00273024" w:rsidRPr="00273024" w:rsidRDefault="00273024" w:rsidP="00273024">
      <w:pPr>
        <w:pStyle w:val="Default"/>
        <w:spacing w:before="120"/>
        <w:jc w:val="both"/>
        <w:rPr>
          <w:rFonts w:ascii="Arial" w:hAnsi="Arial" w:cs="Arial"/>
        </w:rPr>
      </w:pPr>
      <w:r w:rsidRPr="00273024">
        <w:rPr>
          <w:rFonts w:ascii="Arial" w:hAnsi="Arial" w:cs="Arial"/>
        </w:rPr>
        <w:t>2.3. Señala que ha existido vulneración a la igualdad procesal y a la actuación probatoria, esto por cuanto señala que al Ministerio Público se admitió y permitió ofrecer pruebas documentales luego del examen de los órganos de prueba, en tanto que a la defensa se le rechazó la prueba documental ofrecida como prueba de oficio adicional luego de los debates.</w:t>
      </w:r>
    </w:p>
    <w:p w14:paraId="3079A8E9" w14:textId="77777777" w:rsidR="00273024" w:rsidRPr="00273024" w:rsidRDefault="00273024" w:rsidP="00273024">
      <w:pPr>
        <w:pStyle w:val="Default"/>
        <w:spacing w:before="120"/>
        <w:jc w:val="both"/>
        <w:rPr>
          <w:rFonts w:ascii="Arial" w:hAnsi="Arial" w:cs="Arial"/>
        </w:rPr>
      </w:pPr>
      <w:r w:rsidRPr="00273024">
        <w:rPr>
          <w:rFonts w:ascii="Arial" w:hAnsi="Arial" w:cs="Arial"/>
        </w:rPr>
        <w:t>2.4. Como pretensión subsidiaria, la defensa alega la revocatoria de la sentencia por vulneración del derecho a la motivación especial de las resoluciones judiciales en materia penal, esto en tanto la sentencia ha omitido evaluar respecto al error de tipo, por cuanto la menor refirió que tenía más de 14 años, 16 y luego 18 años de edad, en ese sentido, también cuestiona que el juicio no se ha acreditado que ha existido penetración vaginal y anal, tomando en cuenta que la menor, en ningún momento, ha referido haber sido penetrada vaginalmente ni por vía anal.</w:t>
      </w:r>
    </w:p>
    <w:p w14:paraId="4651C404" w14:textId="77777777" w:rsidR="00273024" w:rsidRPr="00273024" w:rsidRDefault="00273024" w:rsidP="00273024">
      <w:pPr>
        <w:pStyle w:val="Default"/>
        <w:spacing w:before="120"/>
        <w:jc w:val="both"/>
        <w:rPr>
          <w:rFonts w:ascii="Arial" w:hAnsi="Arial" w:cs="Arial"/>
        </w:rPr>
      </w:pPr>
      <w:r w:rsidRPr="00273024">
        <w:rPr>
          <w:rFonts w:ascii="Arial" w:hAnsi="Arial" w:cs="Arial"/>
        </w:rPr>
        <w:t>2.5. Además, el Certificado Médico Legal 2605-IS, de foja 15, arroja que la menor presenta himen complaciente y además no se encontraron espermatozoides; por otro lado, la sentencia tampoco analizó que la cavidad anal puede dañarse por factores distintos a la penetración, tampoco evalúa que, en la data del certificado médico legal, la agraviada niega relaciones sexuales contra natura con el sentenciado y finalmente, tampoco analiza que tanto la madre y tía de la menor, hacen referencia que la agraviada les haya contado haber sido penetrada contra natura, todo lo contrario, la propia agraviada niega actos contra natura, lo que también niega el sentenciado.</w:t>
      </w:r>
    </w:p>
    <w:p w14:paraId="49D9B155"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Fundamentos de la resolución impugnada</w:t>
      </w:r>
    </w:p>
    <w:p w14:paraId="3F74E897"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Tercero. </w:t>
      </w:r>
      <w:r w:rsidRPr="00273024">
        <w:rPr>
          <w:rFonts w:ascii="Arial" w:hAnsi="Arial" w:cs="Arial"/>
        </w:rPr>
        <w:t>La Sala Superior mediante resolución del 3 de octubre del 2022</w:t>
      </w:r>
      <w:r w:rsidRPr="00273024">
        <w:rPr>
          <w:rFonts w:ascii="Arial" w:hAnsi="Arial" w:cs="Arial"/>
          <w:vertAlign w:val="superscript"/>
        </w:rPr>
        <w:t>3</w:t>
      </w:r>
      <w:r w:rsidRPr="00273024">
        <w:rPr>
          <w:rFonts w:ascii="Arial" w:hAnsi="Arial" w:cs="Arial"/>
        </w:rPr>
        <w:t xml:space="preserve"> concluyó en la condena de Jamer Lino Sulca Inga, tras la valoración de la prueba actuada y sometida al contradictorio, precisó lo siguiente:</w:t>
      </w:r>
    </w:p>
    <w:p w14:paraId="030BB31D"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3.1. Los argumentos esbozados por la defensa han sido vagos y ambiguos, los mismos que han sido desvirtuados con la sindicación de la menor agraviada de iniciales L. Ñ. P. de 12 años de edad, la misma que presenta </w:t>
      </w:r>
      <w:r w:rsidRPr="00273024">
        <w:rPr>
          <w:rFonts w:ascii="Arial" w:hAnsi="Arial" w:cs="Arial"/>
          <w:b/>
          <w:bCs/>
        </w:rPr>
        <w:t>ausencia de incredibilidad subjetiva</w:t>
      </w:r>
      <w:r w:rsidRPr="00273024">
        <w:rPr>
          <w:rFonts w:ascii="Arial" w:hAnsi="Arial" w:cs="Arial"/>
        </w:rPr>
        <w:t>, pues no se acreditó que exista relación entre la agraviada y el acusado, basada en el odio, resentimiento o enemistad u otro que puedan incidir en la parcialidad de la declaración; por ende, no existe una animadversión contra el acusado que logre poner en cuestionamiento la credibilidad de la menor.</w:t>
      </w:r>
    </w:p>
    <w:p w14:paraId="72E3133C" w14:textId="77777777" w:rsidR="00273024" w:rsidRPr="00273024" w:rsidRDefault="00273024" w:rsidP="00273024">
      <w:pPr>
        <w:pStyle w:val="Default"/>
        <w:spacing w:before="120"/>
        <w:jc w:val="both"/>
        <w:rPr>
          <w:rFonts w:ascii="Arial" w:hAnsi="Arial" w:cs="Arial"/>
        </w:rPr>
      </w:pPr>
      <w:r w:rsidRPr="00273024">
        <w:rPr>
          <w:rFonts w:ascii="Arial" w:hAnsi="Arial" w:cs="Arial"/>
        </w:rPr>
        <w:t>3.2. La declaración de la menor es verosímil, pues su versión se encuentra corroborada de manera periférica con el Certificado Médico Legal 002605-IS (foja 15), la Pericia Psicológica 002701-2019-PSC-VF (foja 26), de la agraviada, con la cual se evidencia la afectación emocional como consecuencia del daño denunciado, la testimonial de Teodosia Paúcar Nateros y Alicia Paúcar Nateros, madre y tía de la menor, siendo esta última quien ratifica el abuso sexual del que fue víctima la menor y la afectación emocional.</w:t>
      </w:r>
    </w:p>
    <w:p w14:paraId="0C65CB61" w14:textId="77777777" w:rsidR="00273024" w:rsidRPr="00273024" w:rsidRDefault="00273024" w:rsidP="00273024">
      <w:pPr>
        <w:pStyle w:val="Default"/>
        <w:spacing w:before="120"/>
        <w:jc w:val="both"/>
        <w:rPr>
          <w:rFonts w:ascii="Arial" w:hAnsi="Arial" w:cs="Arial"/>
        </w:rPr>
      </w:pPr>
      <w:r w:rsidRPr="00273024">
        <w:rPr>
          <w:rFonts w:ascii="Arial" w:hAnsi="Arial" w:cs="Arial"/>
        </w:rPr>
        <w:t>3.3. Respecto a la persistencia en la incriminación, se precisa que la menor sindicó y reconoció al acusado como la persona que la violentó sexualmente observándose coherencia y solidez en el relato, por lo que constituye prueba suficiente de la seriedad y contundencia de los cargos recaídos contra el acusado Lino Sulca.</w:t>
      </w:r>
    </w:p>
    <w:p w14:paraId="383805E8" w14:textId="77777777" w:rsidR="00273024" w:rsidRPr="00273024" w:rsidRDefault="00273024" w:rsidP="00273024">
      <w:pPr>
        <w:pStyle w:val="Default"/>
        <w:spacing w:before="120"/>
        <w:jc w:val="both"/>
        <w:rPr>
          <w:rFonts w:ascii="Arial" w:hAnsi="Arial" w:cs="Arial"/>
        </w:rPr>
      </w:pPr>
      <w:r w:rsidRPr="00273024">
        <w:rPr>
          <w:rFonts w:ascii="Arial" w:hAnsi="Arial" w:cs="Arial"/>
        </w:rPr>
        <w:t>3.4. En relación con el error de tipo por desconocimiento de la edad de la agraviada, señaló que los argumentos de la defensa resultan inverosímiles, toda vez que la menor relato durante la entrevista en Cámara Gesell que el acusado sabía que tenía 12 años de edad porque se lo mencionó cuando la recogía, e incluso el sentenciado le dijo que tenía 29 años y luego abusó de ella, indicándole que no dijera nada porque lo iban a meter a la cárcel, es decir, conocía de la edad de la víctima; además el acusado afirmó que la recogía de su centro de estudios, siendo evidente que conocía el grado que cursaba y, tampoco tenía motivo para sentir temor si consideraba que no estaba realizando algo ilícito. Así también no resulta cierto que aparentaba tener más de 16 años, cuando en el certificado médico legal se precisó que la edad aproximada de la menor era de 11 años, por lo que no existe posibilidad alguna que sea pasible de la eximente de la responsabilidad.</w:t>
      </w:r>
    </w:p>
    <w:p w14:paraId="58475B90" w14:textId="77777777" w:rsidR="00273024" w:rsidRPr="00273024" w:rsidRDefault="00273024" w:rsidP="00273024">
      <w:pPr>
        <w:pStyle w:val="Default"/>
        <w:spacing w:before="120"/>
        <w:jc w:val="both"/>
        <w:rPr>
          <w:rFonts w:ascii="Arial" w:hAnsi="Arial" w:cs="Arial"/>
        </w:rPr>
      </w:pPr>
      <w:r w:rsidRPr="00273024">
        <w:rPr>
          <w:rFonts w:ascii="Arial" w:hAnsi="Arial" w:cs="Arial"/>
        </w:rPr>
        <w:t>3.5. En cuanto al alegato de la defensa, referido a que la menor no sindica al acusado de haberle practicado el acto contra natura, también se encuentra desacreditado, pues si bien la menor durante la entrevista hizo referencia a los actos de violación vía vaginal, no negó que la haya violentado vía anal, además no se puede exigir a una menor que a sus escasos 12 años, pueda distinguir entre lo que es una penetración vía vaginal o anal, lo cual sería irracional, conforme lo corroboró la perito médico legista, quien durante el plenario sostuvo que de acuerdo a su experiencia las menores refieren no haber tenido acto contra natura a pesar de haber ocurrido dicho suceso, debido a su falta de experiencia sexual, pero la certeza proviene de lo visto en el examen, refiriéndose al certificado médico legal donde se deja establecido el acto contra natura reciente.</w:t>
      </w:r>
    </w:p>
    <w:p w14:paraId="44908BB0" w14:textId="77777777" w:rsidR="00273024" w:rsidRPr="00273024" w:rsidRDefault="00273024" w:rsidP="00273024">
      <w:pPr>
        <w:pStyle w:val="Default"/>
        <w:spacing w:before="120"/>
        <w:jc w:val="both"/>
        <w:rPr>
          <w:rFonts w:ascii="Arial" w:hAnsi="Arial" w:cs="Arial"/>
        </w:rPr>
      </w:pPr>
      <w:r w:rsidRPr="00273024">
        <w:rPr>
          <w:rFonts w:ascii="Arial" w:hAnsi="Arial" w:cs="Arial"/>
        </w:rPr>
        <w:t>3.6. Finalmente, el Colegiado sostuvo que el Certificado Médico Legal 007379-PF-AR (foja 174), ratificado por la perita en el plenario, concluye que no se observaron espermatozoides en la secreción anal y vaginal de la menor agraviada; ello de ninguna manera desvirtúa la imputación cuando la perita señala la imposibilidad, porque existe diversos factores para no hallar los mismos, por lo que, al no ser un resultado absoluto no se puede concluir que no existió agresión sexual, cuando el Certificado Médico Legal 002605-IS (foja 15) acreditó la presencia de lesión genital en el himen complaciente y signos de actos contra natura reciente así como lesiones extragenitales en la menor agraviada.</w:t>
      </w:r>
    </w:p>
    <w:p w14:paraId="784BB9BF"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Fundamentos del tribunal supremo</w:t>
      </w:r>
    </w:p>
    <w:p w14:paraId="0C21DA49" w14:textId="77777777" w:rsidR="00273024" w:rsidRPr="00273024" w:rsidRDefault="00273024" w:rsidP="00273024">
      <w:pPr>
        <w:spacing w:before="120"/>
        <w:rPr>
          <w:rFonts w:cs="Arial"/>
          <w:sz w:val="24"/>
          <w:szCs w:val="24"/>
        </w:rPr>
      </w:pPr>
      <w:r w:rsidRPr="00273024">
        <w:rPr>
          <w:rFonts w:cs="Arial"/>
          <w:b/>
          <w:bCs/>
          <w:sz w:val="24"/>
          <w:szCs w:val="24"/>
        </w:rPr>
        <w:t xml:space="preserve">Cuarto. </w:t>
      </w:r>
      <w:r w:rsidRPr="00273024">
        <w:rPr>
          <w:rFonts w:cs="Arial"/>
          <w:sz w:val="24"/>
          <w:szCs w:val="24"/>
        </w:rPr>
        <w:t xml:space="preserve">De la delimitación de los agravios expuestos por el recurrente, se aprecia que el recurso de nulidad cuestiona aspectos relacionados a la valoración probatoria, pues señala: </w:t>
      </w:r>
      <w:r w:rsidRPr="00273024">
        <w:rPr>
          <w:rFonts w:cs="Arial"/>
          <w:b/>
          <w:bCs/>
          <w:sz w:val="24"/>
          <w:szCs w:val="24"/>
        </w:rPr>
        <w:t xml:space="preserve">a) </w:t>
      </w:r>
      <w:r w:rsidRPr="00273024">
        <w:rPr>
          <w:rFonts w:cs="Arial"/>
          <w:sz w:val="24"/>
          <w:szCs w:val="24"/>
        </w:rPr>
        <w:t xml:space="preserve">no se valoró la existencia del error de tipo, por razones de edad, por cuanto la menor refirió que tenía más de 14 años, 16 y luego 18 años de edad; </w:t>
      </w:r>
      <w:r w:rsidRPr="00273024">
        <w:rPr>
          <w:rFonts w:cs="Arial"/>
          <w:b/>
          <w:bCs/>
          <w:sz w:val="24"/>
          <w:szCs w:val="24"/>
        </w:rPr>
        <w:t xml:space="preserve">b) </w:t>
      </w:r>
      <w:r w:rsidRPr="00273024">
        <w:rPr>
          <w:rFonts w:cs="Arial"/>
          <w:sz w:val="24"/>
          <w:szCs w:val="24"/>
        </w:rPr>
        <w:t>no se acreditó la existencia de penetración vaginal ni anal, dado que la menor no refirió haber sido penetrada</w:t>
      </w:r>
      <w:r w:rsidRPr="00273024">
        <w:rPr>
          <w:rFonts w:cs="Arial"/>
          <w:b/>
          <w:bCs/>
          <w:sz w:val="24"/>
          <w:szCs w:val="24"/>
        </w:rPr>
        <w:t xml:space="preserve">; c) </w:t>
      </w:r>
      <w:r w:rsidRPr="00273024">
        <w:rPr>
          <w:rFonts w:cs="Arial"/>
          <w:sz w:val="24"/>
          <w:szCs w:val="24"/>
        </w:rPr>
        <w:t>no se admitió la prueba personal y documental ofrecida como descargo, vulnerando los derechos de actuación probatoria, comunidad de la prueba y verdad judicial, por cuanto el director de debates declaró fundadas todas las objeciones realizadas por el Ministerio Público; además, le admitió y permitió ofrecer pruebas documentales luego del examen de los órganos de prueba, en tanto que a la defensa se le rechazó la prueba documental ofrecida como prueba de oficio adicional luego de los debates.</w:t>
      </w:r>
    </w:p>
    <w:p w14:paraId="09BFECC7" w14:textId="77777777" w:rsidR="00273024" w:rsidRPr="00273024" w:rsidRDefault="00273024" w:rsidP="00273024">
      <w:pPr>
        <w:pStyle w:val="Default"/>
        <w:spacing w:before="120"/>
        <w:jc w:val="both"/>
        <w:rPr>
          <w:rFonts w:ascii="Arial" w:hAnsi="Arial" w:cs="Arial"/>
        </w:rPr>
      </w:pPr>
      <w:r w:rsidRPr="00273024">
        <w:rPr>
          <w:rFonts w:ascii="Arial" w:hAnsi="Arial" w:cs="Arial"/>
        </w:rPr>
        <w:t>4.1. Respecto al primer agravio, la defensa propone que se estaría ante un error de tipo, por razón de la edad y si bien dicha circunstancia fue propuesta por la defensa desde el inicio del proceso, la Sala Superior valoró de manera sucinta dicha circunstancia. Por esta razón, este Supremo Tribunal, actuará conforme lo establecido en el Acuerdo Plenario 6-2011/CJ-116</w:t>
      </w:r>
      <w:r w:rsidRPr="00273024">
        <w:rPr>
          <w:rFonts w:ascii="Arial" w:hAnsi="Arial" w:cs="Arial"/>
          <w:vertAlign w:val="superscript"/>
        </w:rPr>
        <w:t>4</w:t>
      </w:r>
      <w:r w:rsidRPr="00273024">
        <w:rPr>
          <w:rFonts w:ascii="Arial" w:hAnsi="Arial" w:cs="Arial"/>
        </w:rPr>
        <w:t xml:space="preserve"> del seis de diciembre de dos mil once, que habilita al Tribunal que corregir la motivación de la sentencia recurrida.</w:t>
      </w:r>
    </w:p>
    <w:p w14:paraId="22EB41FF" w14:textId="77777777" w:rsidR="00273024" w:rsidRPr="00273024" w:rsidRDefault="00273024" w:rsidP="00273024">
      <w:pPr>
        <w:pStyle w:val="Default"/>
        <w:spacing w:before="120"/>
        <w:jc w:val="both"/>
        <w:rPr>
          <w:rFonts w:ascii="Arial" w:hAnsi="Arial" w:cs="Arial"/>
        </w:rPr>
      </w:pPr>
      <w:r w:rsidRPr="00273024">
        <w:rPr>
          <w:rFonts w:ascii="Arial" w:hAnsi="Arial" w:cs="Arial"/>
        </w:rPr>
        <w:t>4.2. El delito de violación sexual de menor de edad previsto en el artículo 173 del Código Penal, únicamente exige que el procesado haya tenido contacto sexual con una menor de catorce años de edad por la cavidad vaginal, anal o bucal, o realizando actos análogos, como introducir objetos o partes del cuerpo por las vías ya referidas. De modo que el consentimiento o el medio comisivo empleado –uso de violencia, intimidación, inconciencia o engaño– son tópicos secundarios. Este tipo penal cuyo ámbito de protección nos remite a la salvaguarda de aquellos sujetos pasivos que dada su minoría de edad no pueden consentir jurídicamente el acceso sexual, de ahí que el bien jurídico tutelado sea la intangibilidad o indemnidad sexual.</w:t>
      </w:r>
    </w:p>
    <w:p w14:paraId="364F93DA" w14:textId="77777777" w:rsidR="00273024" w:rsidRPr="00273024" w:rsidRDefault="00273024" w:rsidP="00273024">
      <w:pPr>
        <w:pStyle w:val="Default"/>
        <w:spacing w:before="120"/>
        <w:jc w:val="both"/>
        <w:rPr>
          <w:rFonts w:ascii="Arial" w:hAnsi="Arial" w:cs="Arial"/>
        </w:rPr>
      </w:pPr>
      <w:r w:rsidRPr="00273024">
        <w:rPr>
          <w:rFonts w:ascii="Arial" w:hAnsi="Arial" w:cs="Arial"/>
        </w:rPr>
        <w:t>En la probanza de este tipo de delitos, las máximas de la experiencia demuestran que dada la clandestinidad en que se materializan, la principal prueba de cargo se asienta en la versión de la víctima</w:t>
      </w:r>
      <w:r w:rsidRPr="00273024">
        <w:rPr>
          <w:rFonts w:ascii="Arial" w:hAnsi="Arial" w:cs="Arial"/>
          <w:vertAlign w:val="superscript"/>
        </w:rPr>
        <w:t>5</w:t>
      </w:r>
      <w:r w:rsidRPr="00273024">
        <w:rPr>
          <w:rFonts w:ascii="Arial" w:hAnsi="Arial" w:cs="Arial"/>
        </w:rPr>
        <w:t>; por ello, el tratamiento adecuado en valoración de la prueba personal en este tipo de delitos, demanda del órgano jurisdiccional extremo celo y cuidado, así como objetividad y el rechazo de cualquier prejuicio o estereotipo de género que afecte su dignidad</w:t>
      </w:r>
      <w:r w:rsidRPr="00273024">
        <w:rPr>
          <w:rFonts w:ascii="Arial" w:hAnsi="Arial" w:cs="Arial"/>
          <w:vertAlign w:val="superscript"/>
        </w:rPr>
        <w:t>6</w:t>
      </w:r>
      <w:r w:rsidRPr="00273024">
        <w:rPr>
          <w:rFonts w:ascii="Arial" w:hAnsi="Arial" w:cs="Arial"/>
        </w:rPr>
        <w:t xml:space="preserve"> y su victimización secundaria</w:t>
      </w:r>
      <w:r w:rsidRPr="00273024">
        <w:rPr>
          <w:rFonts w:ascii="Arial" w:hAnsi="Arial" w:cs="Arial"/>
          <w:vertAlign w:val="superscript"/>
        </w:rPr>
        <w:t>7</w:t>
      </w:r>
      <w:r w:rsidRPr="00273024">
        <w:rPr>
          <w:rFonts w:ascii="Arial" w:hAnsi="Arial" w:cs="Arial"/>
        </w:rPr>
        <w:t>.</w:t>
      </w:r>
    </w:p>
    <w:p w14:paraId="25E7DF39" w14:textId="77777777" w:rsidR="00273024" w:rsidRPr="00273024" w:rsidRDefault="00273024" w:rsidP="00273024">
      <w:pPr>
        <w:pStyle w:val="Default"/>
        <w:spacing w:before="120"/>
        <w:jc w:val="both"/>
        <w:rPr>
          <w:rFonts w:ascii="Arial" w:hAnsi="Arial" w:cs="Arial"/>
        </w:rPr>
      </w:pPr>
      <w:r w:rsidRPr="00273024">
        <w:rPr>
          <w:rFonts w:ascii="Arial" w:hAnsi="Arial" w:cs="Arial"/>
        </w:rPr>
        <w:t>4.3. Bajo dicho contexto, no es posible descartar la existencia de agresión sexual vía vaginal y anal, tanto más si la menor relató en cámara Gesell que fue víctima de abuso sexual por parte su vecino Jamer Lino Sulca Inga, cuando tenía 12 años, lo que guarda relación con el Certificado Médico Legal 002605-IS</w:t>
      </w:r>
      <w:r w:rsidRPr="00273024">
        <w:rPr>
          <w:rFonts w:ascii="Arial" w:hAnsi="Arial" w:cs="Arial"/>
          <w:vertAlign w:val="superscript"/>
        </w:rPr>
        <w:t>8</w:t>
      </w:r>
      <w:r w:rsidRPr="00273024">
        <w:rPr>
          <w:rFonts w:ascii="Arial" w:hAnsi="Arial" w:cs="Arial"/>
        </w:rPr>
        <w:t xml:space="preserve"> de fecha veintiuno de enero de dos mil diecinueve, que así lo certifica.</w:t>
      </w:r>
    </w:p>
    <w:p w14:paraId="4B6B5D0E" w14:textId="77777777" w:rsidR="00273024" w:rsidRPr="00273024" w:rsidRDefault="00273024" w:rsidP="00273024">
      <w:pPr>
        <w:pStyle w:val="Default"/>
        <w:spacing w:before="120"/>
        <w:jc w:val="both"/>
        <w:rPr>
          <w:rFonts w:ascii="Arial" w:hAnsi="Arial" w:cs="Arial"/>
        </w:rPr>
      </w:pPr>
      <w:r w:rsidRPr="00273024">
        <w:rPr>
          <w:rFonts w:ascii="Arial" w:hAnsi="Arial" w:cs="Arial"/>
        </w:rPr>
        <w:t>4.4. El delito mencionado es inminentemente doloso y, por tanto, se tiene que determinar si el agente estaba en condiciones de conocer el carácter ilícito de su conducta desde sus circunstancias concretas. Uno de los elementos del tipo penal del cual debe estar consciente el sujeto es la edad de la víctima, pues si no pudo conocer que tenía menos de catorce años o no lo supo por imprudencia, estamos ante un caso de atipicidad subjetiva; en consecuencia, esta falencia en el conocimiento del carácter ilícito de su conducta en casos acreditados lo eximiría de responsabilidad penal, conforme al artículo 14 del Código Penal</w:t>
      </w:r>
      <w:r w:rsidRPr="00273024">
        <w:rPr>
          <w:rFonts w:ascii="Arial" w:hAnsi="Arial" w:cs="Arial"/>
          <w:vertAlign w:val="superscript"/>
        </w:rPr>
        <w:t>9</w:t>
      </w:r>
      <w:r w:rsidRPr="00273024">
        <w:rPr>
          <w:rFonts w:ascii="Arial" w:hAnsi="Arial" w:cs="Arial"/>
        </w:rPr>
        <w:t>.</w:t>
      </w:r>
    </w:p>
    <w:p w14:paraId="70DDC9A2" w14:textId="77777777" w:rsidR="00273024" w:rsidRPr="00273024" w:rsidRDefault="00273024" w:rsidP="00273024">
      <w:pPr>
        <w:pStyle w:val="Default"/>
        <w:spacing w:before="120"/>
        <w:jc w:val="both"/>
        <w:rPr>
          <w:rFonts w:ascii="Arial" w:hAnsi="Arial" w:cs="Arial"/>
        </w:rPr>
      </w:pPr>
      <w:r w:rsidRPr="00273024">
        <w:rPr>
          <w:rFonts w:ascii="Arial" w:hAnsi="Arial" w:cs="Arial"/>
        </w:rPr>
        <w:t>4.5. Al respecto, esta instancia Suprema en los Recursos de Nulidad 1740-2017/Junín y 145-2019/Lima, ha señalado que para la aplicación de dicho supuesto fáctico no basta con las declaraciones del procesado e incluso agraviada, sino que, requiere de corroboración adicional –</w:t>
      </w:r>
      <w:r w:rsidRPr="00273024">
        <w:rPr>
          <w:rFonts w:ascii="Arial" w:hAnsi="Arial" w:cs="Arial"/>
          <w:b/>
          <w:bCs/>
        </w:rPr>
        <w:t>corroboración objetiva</w:t>
      </w:r>
      <w:r w:rsidRPr="00273024">
        <w:rPr>
          <w:rFonts w:ascii="Arial" w:hAnsi="Arial" w:cs="Arial"/>
        </w:rPr>
        <w:t xml:space="preserve">–. En ese sentido, el juzgador deberá examinar la configuración del error de tipo (vencible o invencible), en contraste con las máximas de la experiencia: </w:t>
      </w:r>
      <w:r w:rsidRPr="00273024">
        <w:rPr>
          <w:rFonts w:ascii="Arial" w:hAnsi="Arial" w:cs="Arial"/>
          <w:b/>
          <w:bCs/>
        </w:rPr>
        <w:t xml:space="preserve">i) </w:t>
      </w:r>
      <w:r w:rsidRPr="00273024">
        <w:rPr>
          <w:rFonts w:ascii="Arial" w:hAnsi="Arial" w:cs="Arial"/>
        </w:rPr>
        <w:t xml:space="preserve">el rol social del imputado; </w:t>
      </w:r>
      <w:r w:rsidRPr="00273024">
        <w:rPr>
          <w:rFonts w:ascii="Arial" w:hAnsi="Arial" w:cs="Arial"/>
          <w:b/>
          <w:bCs/>
        </w:rPr>
        <w:t xml:space="preserve">ii) </w:t>
      </w:r>
      <w:r w:rsidRPr="00273024">
        <w:rPr>
          <w:rFonts w:ascii="Arial" w:hAnsi="Arial" w:cs="Arial"/>
        </w:rPr>
        <w:t xml:space="preserve">las circunstancias del hecho; </w:t>
      </w:r>
      <w:r w:rsidRPr="00273024">
        <w:rPr>
          <w:rFonts w:ascii="Arial" w:hAnsi="Arial" w:cs="Arial"/>
          <w:b/>
          <w:bCs/>
        </w:rPr>
        <w:t xml:space="preserve">iii) </w:t>
      </w:r>
      <w:r w:rsidRPr="00273024">
        <w:rPr>
          <w:rFonts w:ascii="Arial" w:hAnsi="Arial" w:cs="Arial"/>
        </w:rPr>
        <w:t xml:space="preserve">la situación de vulnerabilidad de la menor y las normas culturales del lugar; </w:t>
      </w:r>
      <w:r w:rsidRPr="00273024">
        <w:rPr>
          <w:rFonts w:ascii="Arial" w:hAnsi="Arial" w:cs="Arial"/>
          <w:b/>
          <w:bCs/>
        </w:rPr>
        <w:t xml:space="preserve">iv) </w:t>
      </w:r>
      <w:r w:rsidRPr="00273024">
        <w:rPr>
          <w:rFonts w:ascii="Arial" w:hAnsi="Arial" w:cs="Arial"/>
        </w:rPr>
        <w:t>la capacidad intelectiva, discernimiento y percepción del imputado.</w:t>
      </w:r>
    </w:p>
    <w:p w14:paraId="078D4D1B" w14:textId="77777777" w:rsidR="00273024" w:rsidRPr="00273024" w:rsidRDefault="00273024" w:rsidP="00273024">
      <w:pPr>
        <w:pStyle w:val="Default"/>
        <w:spacing w:before="120"/>
        <w:jc w:val="both"/>
        <w:rPr>
          <w:rFonts w:ascii="Arial" w:hAnsi="Arial" w:cs="Arial"/>
        </w:rPr>
      </w:pPr>
      <w:r w:rsidRPr="00273024">
        <w:rPr>
          <w:rFonts w:ascii="Arial" w:hAnsi="Arial" w:cs="Arial"/>
        </w:rPr>
        <w:t>4.6. En el presente caso, las alegaciones realizadas por la defensa sobre el hecho que la menor la menor refirió que tenía más de 14 años, 16 y luego</w:t>
      </w:r>
    </w:p>
    <w:p w14:paraId="52D3C505"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18 años de edad y que tenía contextura robusta, </w:t>
      </w:r>
      <w:r w:rsidRPr="00273024">
        <w:rPr>
          <w:rFonts w:ascii="Arial" w:hAnsi="Arial" w:cs="Arial"/>
          <w:b/>
          <w:bCs/>
        </w:rPr>
        <w:t>no existe tal corroboración adicional objetiva</w:t>
      </w:r>
      <w:r w:rsidRPr="00273024">
        <w:rPr>
          <w:rFonts w:ascii="Arial" w:hAnsi="Arial" w:cs="Arial"/>
        </w:rPr>
        <w:t xml:space="preserve">. La declaración del sentenciado, sobre que la agraviada no parecía menor de 12 años, se contrapone con lo expresado por T. P. N., madre menor de la agraviada, quien, en su testimonial del veintidós de enero de dos mil diecinueve (foja 43), señaló que el tres de enero del mismo año, cuando fue a buscar a su hija a la casa del acusado, advirtió a Sulca Inga que la menor agraviada tenía 12 años; asimismo, en el plenario, dijo: </w:t>
      </w:r>
      <w:r w:rsidRPr="00273024">
        <w:rPr>
          <w:rFonts w:ascii="Arial" w:hAnsi="Arial" w:cs="Arial"/>
          <w:i/>
          <w:iCs/>
        </w:rPr>
        <w:t>“sí sabía que mi hija era menor de edad porque también a su hermana que trabajaba junto a mi puesto le dije que si algo pasaba con mi hija le iba a denunciar a su hermano porque mi hija era menor de edad”</w:t>
      </w:r>
      <w:r w:rsidRPr="00273024">
        <w:rPr>
          <w:rFonts w:ascii="Arial" w:hAnsi="Arial" w:cs="Arial"/>
          <w:i/>
          <w:iCs/>
          <w:vertAlign w:val="superscript"/>
        </w:rPr>
        <w:t>10</w:t>
      </w:r>
      <w:r w:rsidRPr="00273024">
        <w:rPr>
          <w:rFonts w:ascii="Arial" w:hAnsi="Arial" w:cs="Arial"/>
        </w:rPr>
        <w:t>; y; lo declarado por A. P. N.</w:t>
      </w:r>
      <w:r w:rsidRPr="00273024">
        <w:rPr>
          <w:rFonts w:ascii="Arial" w:hAnsi="Arial" w:cs="Arial"/>
          <w:vertAlign w:val="superscript"/>
        </w:rPr>
        <w:t>11</w:t>
      </w:r>
      <w:r w:rsidRPr="00273024">
        <w:rPr>
          <w:rFonts w:ascii="Arial" w:hAnsi="Arial" w:cs="Arial"/>
        </w:rPr>
        <w:t xml:space="preserve"> (tía de la menor), en el plenario, señaló que junto a su hermana Teodosia, advirtieron al sentenciado que la agraviada era menor de edad y que tenía 12 años; afirmaciones que guardan respaldo con el Certificado Médico Legal 002605-IS de fecha veintiuno de enero de dos mil diecinueve, donde se señala que la menor tiene 12 años (ver cuarta conclusión)</w:t>
      </w:r>
      <w:r w:rsidRPr="00273024">
        <w:rPr>
          <w:rFonts w:ascii="Arial" w:hAnsi="Arial" w:cs="Arial"/>
          <w:vertAlign w:val="superscript"/>
        </w:rPr>
        <w:t>12</w:t>
      </w:r>
      <w:r w:rsidRPr="00273024">
        <w:rPr>
          <w:rFonts w:ascii="Arial" w:hAnsi="Arial" w:cs="Arial"/>
        </w:rPr>
        <w:t>; y con la partida de nacimiento</w:t>
      </w:r>
      <w:r w:rsidRPr="00273024">
        <w:rPr>
          <w:rFonts w:ascii="Arial" w:hAnsi="Arial" w:cs="Arial"/>
          <w:vertAlign w:val="superscript"/>
        </w:rPr>
        <w:t>13</w:t>
      </w:r>
      <w:r w:rsidRPr="00273024">
        <w:rPr>
          <w:rFonts w:ascii="Arial" w:hAnsi="Arial" w:cs="Arial"/>
        </w:rPr>
        <w:t xml:space="preserve"> donde se aprecia que la menor agraviada nació el diecisiete de abril de dos mil seis, siendo que al veintiuno de enero de dos mil diecinueve, fecha de ocurrido los hechos, tenía 12 años, 9 meses, 4 días.</w:t>
      </w:r>
    </w:p>
    <w:p w14:paraId="213A4435" w14:textId="77777777" w:rsidR="00273024" w:rsidRPr="00273024" w:rsidRDefault="00273024" w:rsidP="00273024">
      <w:pPr>
        <w:pStyle w:val="Default"/>
        <w:spacing w:before="120"/>
        <w:jc w:val="both"/>
        <w:rPr>
          <w:rFonts w:ascii="Arial" w:hAnsi="Arial" w:cs="Arial"/>
        </w:rPr>
      </w:pPr>
      <w:r w:rsidRPr="00273024">
        <w:rPr>
          <w:rFonts w:ascii="Arial" w:hAnsi="Arial" w:cs="Arial"/>
        </w:rPr>
        <w:t>4.7. Si bien la defensa, durante el juicio oral, solicitó se practique a la menor una pericia antropológica y examen psicosomático, ello no fue admitido, por carecer de utilidad en el esclarecimiento de los hechos dado el tiempo transcurrido (4 años), conforme lo señalado por la Sala Superior en el acta de la sesión de juicio oral de fecha cinco de septiembre de dos mil veintidós</w:t>
      </w:r>
      <w:r w:rsidRPr="00273024">
        <w:rPr>
          <w:rFonts w:ascii="Arial" w:hAnsi="Arial" w:cs="Arial"/>
          <w:vertAlign w:val="superscript"/>
        </w:rPr>
        <w:t>14</w:t>
      </w:r>
      <w:r w:rsidRPr="00273024">
        <w:rPr>
          <w:rFonts w:ascii="Arial" w:hAnsi="Arial" w:cs="Arial"/>
        </w:rPr>
        <w:t>.</w:t>
      </w:r>
    </w:p>
    <w:p w14:paraId="5357749A" w14:textId="77777777" w:rsidR="00273024" w:rsidRPr="00273024" w:rsidRDefault="00273024" w:rsidP="00273024">
      <w:pPr>
        <w:pStyle w:val="Default"/>
        <w:spacing w:before="120"/>
        <w:jc w:val="both"/>
        <w:rPr>
          <w:rFonts w:ascii="Arial" w:hAnsi="Arial" w:cs="Arial"/>
        </w:rPr>
      </w:pPr>
      <w:r w:rsidRPr="00273024">
        <w:rPr>
          <w:rFonts w:ascii="Arial" w:hAnsi="Arial" w:cs="Arial"/>
        </w:rPr>
        <w:t>4.8. Al evaluarse el rol social del imputado y las circunstancias de cómo se dieron los hechos, se aprecia, que Jamer Lino Sulca Inga, tenía 32 años de edad, era vecino de la agraviada y; el día veintiuno de enero de dos mil diecinueve, a bordo de su mototaxi, recogió a la menor del colegio a las 11:10 horas aproximadamente, llevándola a la zona conocida como Valle, ubicada en Parque de la Reserva - A. H. Basilio Auqui - Lurigancho Chosica, sentándose junto a la menor en la parte posterior del vehículo menor, la besó, acarició y le propuso tener relaciones sexuales, propuesta que no fue aceptada por la menor, conforme lo relató en su manifestación de fecha veintidós de enero de dos mil diecinueve</w:t>
      </w:r>
      <w:r w:rsidRPr="00273024">
        <w:rPr>
          <w:rFonts w:ascii="Arial" w:hAnsi="Arial" w:cs="Arial"/>
          <w:vertAlign w:val="superscript"/>
        </w:rPr>
        <w:t>15</w:t>
      </w:r>
      <w:r w:rsidRPr="00273024">
        <w:rPr>
          <w:rFonts w:ascii="Arial" w:hAnsi="Arial" w:cs="Arial"/>
        </w:rPr>
        <w:t>.</w:t>
      </w:r>
    </w:p>
    <w:p w14:paraId="5D211F7F"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Pregunta 6</w:t>
      </w:r>
    </w:p>
    <w:p w14:paraId="5AC22606"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 xml:space="preserve">... le respondía vamos a Valle y ella me respondió no porque pasan conocidos por esa zona, y luego accedió a irse conmigo... en donde al llegar estacioné mi moto taxi ... y estuvimos sentados conversando y besándonos aproximadamente media hora en </w:t>
      </w:r>
      <w:r w:rsidRPr="00273024">
        <w:rPr>
          <w:rFonts w:ascii="Arial" w:hAnsi="Arial" w:cs="Arial"/>
          <w:i/>
          <w:iCs/>
          <w:u w:val="single"/>
        </w:rPr>
        <w:t>donde le propuse tener relaciones sexuales y ella me respondía “no sé”, pero cuando la besaba me dijo ya “porque estaba segura”, y yo le intenté bajar el pantalón de buzo</w:t>
      </w:r>
      <w:r w:rsidRPr="00273024">
        <w:rPr>
          <w:rFonts w:ascii="Arial" w:hAnsi="Arial" w:cs="Arial"/>
          <w:i/>
          <w:iCs/>
        </w:rPr>
        <w:t>...”</w:t>
      </w:r>
    </w:p>
    <w:p w14:paraId="65399AAE"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w:t>
      </w:r>
    </w:p>
    <w:p w14:paraId="6DEFF1A1"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Pregunta 13</w:t>
      </w:r>
    </w:p>
    <w:p w14:paraId="2915A753" w14:textId="77777777" w:rsidR="00273024" w:rsidRPr="00273024" w:rsidRDefault="00273024" w:rsidP="00273024">
      <w:pPr>
        <w:pStyle w:val="Default"/>
        <w:spacing w:before="120"/>
        <w:jc w:val="both"/>
        <w:rPr>
          <w:rFonts w:ascii="Arial" w:hAnsi="Arial" w:cs="Arial"/>
          <w:i/>
          <w:iCs/>
        </w:rPr>
      </w:pPr>
      <w:r w:rsidRPr="00273024">
        <w:rPr>
          <w:rFonts w:ascii="Arial" w:hAnsi="Arial" w:cs="Arial"/>
          <w:i/>
          <w:iCs/>
        </w:rPr>
        <w:t xml:space="preserve">“Yo </w:t>
      </w:r>
      <w:r w:rsidRPr="00273024">
        <w:rPr>
          <w:rFonts w:ascii="Arial" w:hAnsi="Arial" w:cs="Arial"/>
          <w:i/>
          <w:iCs/>
          <w:u w:val="single"/>
        </w:rPr>
        <w:t>llegué a toparle con mi pene su vagina, pero como ella tuvo miedo, lo intenté dos veces, es posible que haya penetrado, pero no todo</w:t>
      </w:r>
      <w:r w:rsidRPr="00273024">
        <w:rPr>
          <w:rFonts w:ascii="Arial" w:hAnsi="Arial" w:cs="Arial"/>
          <w:i/>
          <w:iCs/>
        </w:rPr>
        <w:t>...”.</w:t>
      </w:r>
    </w:p>
    <w:p w14:paraId="3EC0DC1E"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Asimismo, en el plenario al ser interrogado por su defensa técnica, respecto a lo sucedido el veintiuno de enero de dos mil diecinueve, expresó: </w:t>
      </w:r>
      <w:r w:rsidRPr="00273024">
        <w:rPr>
          <w:rFonts w:ascii="Arial" w:hAnsi="Arial" w:cs="Arial"/>
          <w:i/>
          <w:iCs/>
        </w:rPr>
        <w:t xml:space="preserve">“...le propuse tener intimidad y me dijo no sé, luego accedió, pero mi intención esa solo acariciar (...) </w:t>
      </w:r>
      <w:r w:rsidRPr="00273024">
        <w:rPr>
          <w:rFonts w:ascii="Arial" w:hAnsi="Arial" w:cs="Arial"/>
          <w:i/>
          <w:iCs/>
          <w:u w:val="single"/>
        </w:rPr>
        <w:t>si le propuse tener intimidad, intenté bajarle el buzo, pero ella luego, ella misma se bajó</w:t>
      </w:r>
      <w:r w:rsidRPr="00273024">
        <w:rPr>
          <w:rFonts w:ascii="Arial" w:hAnsi="Arial" w:cs="Arial"/>
          <w:i/>
          <w:iCs/>
        </w:rPr>
        <w:t>...”</w:t>
      </w:r>
      <w:r w:rsidRPr="00273024">
        <w:rPr>
          <w:rFonts w:ascii="Arial" w:hAnsi="Arial" w:cs="Arial"/>
          <w:vertAlign w:val="superscript"/>
        </w:rPr>
        <w:t>16</w:t>
      </w:r>
      <w:r w:rsidRPr="00273024">
        <w:rPr>
          <w:rFonts w:ascii="Arial" w:hAnsi="Arial" w:cs="Arial"/>
        </w:rPr>
        <w:t>.</w:t>
      </w:r>
    </w:p>
    <w:p w14:paraId="07C930E3" w14:textId="77777777" w:rsidR="00273024" w:rsidRPr="00273024" w:rsidRDefault="00273024" w:rsidP="00273024">
      <w:pPr>
        <w:pStyle w:val="Default"/>
        <w:spacing w:before="120"/>
        <w:jc w:val="both"/>
        <w:rPr>
          <w:rFonts w:ascii="Arial" w:hAnsi="Arial" w:cs="Arial"/>
        </w:rPr>
      </w:pPr>
      <w:r w:rsidRPr="00273024">
        <w:rPr>
          <w:rFonts w:ascii="Arial" w:hAnsi="Arial" w:cs="Arial"/>
        </w:rPr>
        <w:t>4.9. Con relación a la situación de vulnerabilidad de la menor, apreciamos que la menor solo contaba con 12 años de edad, frente al procesado, que en ese momento tenía 32 años, padre de familia, con estudios secundarios inconclusos, tenía acercamiento a la menor, puesto que vivía a dos o tres casas de la agraviada, su hermana tenía un puesto en el mercado contiguo al de la madre de la agraviada, y; conforme lo manifestó en el juicio oral, la menor jugaba con su hija de 10 años; por lo que, resulta inverosímil que desconociera su edad, por el contrario, como se señaló en el apartado 4.6, en el juicio oral, la madre de la agraviada reiteró que el recurrente sabía que agraviada era menor de edad. Por lo tanto, es posible afirmar que tuvo todas las posibilidades de conocer la edad real de la víctima y también conocer que las relaciones sexuales con menores de edad son consideradas como un delito, tal como lo reconoció durante la entrevista psicológica.</w:t>
      </w:r>
    </w:p>
    <w:p w14:paraId="4C651A9A" w14:textId="77777777" w:rsidR="00273024" w:rsidRPr="00273024" w:rsidRDefault="00273024" w:rsidP="00273024">
      <w:pPr>
        <w:pStyle w:val="Default"/>
        <w:spacing w:before="120"/>
        <w:jc w:val="both"/>
        <w:rPr>
          <w:rFonts w:ascii="Arial" w:hAnsi="Arial" w:cs="Arial"/>
        </w:rPr>
      </w:pPr>
      <w:r w:rsidRPr="00273024">
        <w:rPr>
          <w:rFonts w:ascii="Arial" w:hAnsi="Arial" w:cs="Arial"/>
        </w:rPr>
        <w:t>4.10. Como puede advertirse, aun cuando la menor no hubiese referido su edad –como lo pretende la defensa del sentenciado– ello no es óbice para determinar que el recurrente desconociera de la edad de la agraviada, puesto que el recurrente tuvo todas las posibilidades de conocerla. De todo lo expuesto, para este Supremo Tribunal no se configura un supuesto error de tipo, por lo que el agravio de la defensa debe ser desestimado.</w:t>
      </w:r>
    </w:p>
    <w:p w14:paraId="5DBA713E" w14:textId="77777777" w:rsidR="00273024" w:rsidRPr="00273024" w:rsidRDefault="00273024" w:rsidP="00273024">
      <w:pPr>
        <w:pStyle w:val="Default"/>
        <w:spacing w:before="120"/>
        <w:jc w:val="both"/>
        <w:rPr>
          <w:rFonts w:ascii="Arial" w:hAnsi="Arial" w:cs="Arial"/>
        </w:rPr>
      </w:pPr>
      <w:r w:rsidRPr="00273024">
        <w:rPr>
          <w:rFonts w:ascii="Arial" w:hAnsi="Arial" w:cs="Arial"/>
        </w:rPr>
        <w:t>4.11. Con relación al segundo agravio referido a la no existencia de penetración vía vaginal y anal, debido que la menor no refirió haber sido penetrada de ese modo, se aprecia que si bien la agraviada en el relato que brindó en la Pericia Psicológica 002701-2019-PSC-VF</w:t>
      </w:r>
      <w:r w:rsidRPr="00273024">
        <w:rPr>
          <w:rFonts w:ascii="Arial" w:hAnsi="Arial" w:cs="Arial"/>
          <w:vertAlign w:val="superscript"/>
        </w:rPr>
        <w:t>17</w:t>
      </w:r>
      <w:r w:rsidRPr="00273024">
        <w:rPr>
          <w:rFonts w:ascii="Arial" w:hAnsi="Arial" w:cs="Arial"/>
        </w:rPr>
        <w:t xml:space="preserve"> no precisó que el procesado la haya agredido por vía anal; ello no descarta, por sí mismo, la agresión sexual. Es preciso tener en cuenta que, durante la entrevista psicológica, la menor al momento de narrar los hechos materia del proceso, se tornó sensible, llorosa, tensa, angustiada, temblorosa y con agitación al respirar, lo cual permitió concluir “presenta indicadores de afectación psicológica a nivel emocional”.</w:t>
      </w:r>
    </w:p>
    <w:p w14:paraId="5497358F" w14:textId="77777777" w:rsidR="00273024" w:rsidRPr="00273024" w:rsidRDefault="00273024" w:rsidP="00273024">
      <w:pPr>
        <w:pStyle w:val="Default"/>
        <w:spacing w:before="120"/>
        <w:jc w:val="both"/>
        <w:rPr>
          <w:rFonts w:ascii="Arial" w:hAnsi="Arial" w:cs="Arial"/>
        </w:rPr>
      </w:pPr>
      <w:r w:rsidRPr="00273024">
        <w:rPr>
          <w:rFonts w:ascii="Arial" w:hAnsi="Arial" w:cs="Arial"/>
        </w:rPr>
        <w:t>4.12. Aunado a ello, no debe obviarse que la perita médica legista, Bernardita Olinda Castillo Vicente, en la sesión de audiencia de juicio oral 5 del nueve de septiembre de dos mil veintidós (foja 308) al ser interrogada por la defensa del recurrente, respecto que si existiría relación entre lo declarado por la menor en cámara Gesell y las conclusiones sobre el acto contra natura contenido en el Certificado Médico Legal 002605-IS, señaló que las menores no refieren haber tenido actos contra natura, cuando sí tuvieron, debido que no tienen experiencia sexual, sin embargo, lo que generó certeza es lo que vio al momento de la evaluación médico legal practicada a la víctima</w:t>
      </w:r>
      <w:r w:rsidRPr="00273024">
        <w:rPr>
          <w:rFonts w:ascii="Arial" w:hAnsi="Arial" w:cs="Arial"/>
          <w:vertAlign w:val="superscript"/>
        </w:rPr>
        <w:t>18</w:t>
      </w:r>
      <w:r w:rsidRPr="00273024">
        <w:rPr>
          <w:rFonts w:ascii="Arial" w:hAnsi="Arial" w:cs="Arial"/>
        </w:rPr>
        <w:t>.</w:t>
      </w:r>
    </w:p>
    <w:p w14:paraId="47EE8737" w14:textId="77777777" w:rsidR="00273024" w:rsidRPr="00273024" w:rsidRDefault="00273024" w:rsidP="00273024">
      <w:pPr>
        <w:pStyle w:val="Default"/>
        <w:spacing w:before="120"/>
        <w:jc w:val="both"/>
        <w:rPr>
          <w:rFonts w:ascii="Arial" w:hAnsi="Arial" w:cs="Arial"/>
        </w:rPr>
      </w:pPr>
      <w:r w:rsidRPr="00273024">
        <w:rPr>
          <w:rFonts w:ascii="Arial" w:hAnsi="Arial" w:cs="Arial"/>
        </w:rPr>
        <w:t>4.13. Bajo este contexto, lo narrado por la menor en su núcleo esencial no es contradictorio con las conclusiones del certificado médico legal, sino que se complementan; tampoco las invalida, puesto que la entrevista única en cámara Gesell (foja 37), posee mayor relevancia probatoria, al contener una declaración obtenida a través de un procedimiento especializado y técnico diseñado para evaluar el esclarecimiento del hecho de agresión sexual y evitar la revictimización</w:t>
      </w:r>
      <w:r w:rsidRPr="00273024">
        <w:rPr>
          <w:rFonts w:ascii="Arial" w:hAnsi="Arial" w:cs="Arial"/>
          <w:vertAlign w:val="superscript"/>
        </w:rPr>
        <w:t>19</w:t>
      </w:r>
      <w:r w:rsidRPr="00273024">
        <w:rPr>
          <w:rFonts w:ascii="Arial" w:hAnsi="Arial" w:cs="Arial"/>
        </w:rPr>
        <w:t>.</w:t>
      </w:r>
    </w:p>
    <w:p w14:paraId="24C621C6" w14:textId="77777777" w:rsidR="00273024" w:rsidRPr="00273024" w:rsidRDefault="00273024" w:rsidP="00273024">
      <w:pPr>
        <w:pStyle w:val="Default"/>
        <w:spacing w:before="120"/>
        <w:jc w:val="both"/>
        <w:rPr>
          <w:rFonts w:ascii="Arial" w:hAnsi="Arial" w:cs="Arial"/>
        </w:rPr>
      </w:pPr>
      <w:r w:rsidRPr="00273024">
        <w:rPr>
          <w:rFonts w:ascii="Arial" w:hAnsi="Arial" w:cs="Arial"/>
        </w:rPr>
        <w:t>4.14. Este Supremo Tribunal, ratificará los anteriores acuerdos jurisprudenciales establecidos respecto a que, debido a los impactos de la agresión sexual sobre los menores agraviados, no es razonable exigir rigurosidad en el relato y total precisión sobre los datos circunstanciales vinculados con el hecho ilícito de que fue víctima. En el caso en concreto, la agraviada prestó un relato incriminatorio sostenido y carente de contradicciones ante el especialista que la evaluó, quien concurrió a ratificarse al plenario; por ende, el agravio formulado por la defensa del recurrente debe desestimarse.</w:t>
      </w:r>
    </w:p>
    <w:p w14:paraId="600A65C5" w14:textId="77777777" w:rsidR="00273024" w:rsidRPr="00273024" w:rsidRDefault="00273024" w:rsidP="00273024">
      <w:pPr>
        <w:pStyle w:val="Default"/>
        <w:spacing w:before="120"/>
        <w:jc w:val="both"/>
        <w:rPr>
          <w:rFonts w:ascii="Arial" w:hAnsi="Arial" w:cs="Arial"/>
        </w:rPr>
      </w:pPr>
      <w:r w:rsidRPr="00273024">
        <w:rPr>
          <w:rFonts w:ascii="Arial" w:hAnsi="Arial" w:cs="Arial"/>
        </w:rPr>
        <w:t>4.15. Sobre el tercer agravio, relacionado a la no admisión de la prueba personal y documental ofrecida como descargo, vulnerando los derechos de actuación probatoria y comunidad de la prueba y verdad judicial, por cuanto el director de debates declaró fundadas todas las objeciones realizadas por el Ministerio Público. Cabe señalar, que todas las partes tienen derecho a la libertad probatoria para acreditar sus afirmaciones, esto es que, si durante el proceso el juez identifica una incidencia testimonial o documental que revela la existencia de un medio probatorio relevante, útil y conducente para el caso, tiene la libertad de admitirlo como tal y proceder con su actuación</w:t>
      </w:r>
      <w:r w:rsidRPr="00273024">
        <w:rPr>
          <w:rFonts w:ascii="Arial" w:hAnsi="Arial" w:cs="Arial"/>
          <w:vertAlign w:val="superscript"/>
        </w:rPr>
        <w:t>20</w:t>
      </w:r>
      <w:r w:rsidRPr="00273024">
        <w:rPr>
          <w:rFonts w:ascii="Arial" w:hAnsi="Arial" w:cs="Arial"/>
        </w:rPr>
        <w:t>. Tal derecho tiene límites, que lo constituyen las garantías y derechos de la persona.</w:t>
      </w:r>
    </w:p>
    <w:p w14:paraId="09EF234A"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4.16. Si bien en virtud del principio de libertad probatoria, el juez tiene la libertad de admitir los medios probatorios presentados por las partes; no obstante, previo a su admisión, debe verificarse que sea </w:t>
      </w:r>
      <w:r w:rsidRPr="00273024">
        <w:rPr>
          <w:rFonts w:ascii="Arial" w:hAnsi="Arial" w:cs="Arial"/>
          <w:b/>
          <w:bCs/>
          <w:i/>
          <w:iCs/>
        </w:rPr>
        <w:t xml:space="preserve">pertinente </w:t>
      </w:r>
      <w:r w:rsidRPr="00273024">
        <w:rPr>
          <w:rFonts w:ascii="Arial" w:hAnsi="Arial" w:cs="Arial"/>
        </w:rPr>
        <w:t xml:space="preserve">–los medios probatorios sustenten hechos relacionados directa o indirectamente con el objeto del proceso– </w:t>
      </w:r>
      <w:r w:rsidRPr="00273024">
        <w:rPr>
          <w:rFonts w:ascii="Arial" w:hAnsi="Arial" w:cs="Arial"/>
          <w:b/>
          <w:bCs/>
          <w:i/>
          <w:iCs/>
        </w:rPr>
        <w:t xml:space="preserve">conducente o idóneo </w:t>
      </w:r>
      <w:r w:rsidRPr="00273024">
        <w:rPr>
          <w:rFonts w:ascii="Arial" w:hAnsi="Arial" w:cs="Arial"/>
        </w:rPr>
        <w:t xml:space="preserve">–la obtención del medio probatorio sea legal para demostrar un hecho específico en el proceso– y </w:t>
      </w:r>
      <w:r w:rsidRPr="00273024">
        <w:rPr>
          <w:rFonts w:ascii="Arial" w:hAnsi="Arial" w:cs="Arial"/>
          <w:b/>
          <w:bCs/>
          <w:i/>
          <w:iCs/>
        </w:rPr>
        <w:t xml:space="preserve">útil </w:t>
      </w:r>
      <w:r w:rsidRPr="00273024">
        <w:rPr>
          <w:rFonts w:ascii="Arial" w:hAnsi="Arial" w:cs="Arial"/>
        </w:rPr>
        <w:t>–el medio probatorio debe contribuir a conocer lo que es objeto de prueba–.</w:t>
      </w:r>
    </w:p>
    <w:p w14:paraId="362996DD" w14:textId="77777777" w:rsidR="00273024" w:rsidRPr="00273024" w:rsidRDefault="00273024" w:rsidP="00273024">
      <w:pPr>
        <w:pStyle w:val="Default"/>
        <w:spacing w:before="120"/>
        <w:jc w:val="both"/>
        <w:rPr>
          <w:rFonts w:ascii="Arial" w:hAnsi="Arial" w:cs="Arial"/>
        </w:rPr>
      </w:pPr>
      <w:r w:rsidRPr="00273024">
        <w:rPr>
          <w:rFonts w:ascii="Arial" w:hAnsi="Arial" w:cs="Arial"/>
        </w:rPr>
        <w:t>4.17. En el presente caso, la Sala no admitió los medios probatorios ofrecidos por la defensa –ver acta de sesión de juicio oral del 31 de agosto del 2022</w:t>
      </w:r>
      <w:r w:rsidRPr="00273024">
        <w:rPr>
          <w:rFonts w:ascii="Arial" w:hAnsi="Arial" w:cs="Arial"/>
          <w:vertAlign w:val="superscript"/>
        </w:rPr>
        <w:t>21</w:t>
      </w:r>
      <w:r w:rsidRPr="00273024">
        <w:rPr>
          <w:rFonts w:ascii="Arial" w:hAnsi="Arial" w:cs="Arial"/>
        </w:rPr>
        <w:t>–, por no guardar relación con el objeto a probar. En ese sentido, se aprecia que dicha decisión no fue antojadiza o aislada, ya que se verificó la pertinencia, conducencia y utilidad de cada uno de ellos, luego de haberse realizado el debate correspondiente. Por lo que, al no sustentar hechos relacionados directamente con el objeto del proceso, fueron desestimados, lo cual, en modo alguno vulnera el derecho a probar en sus acepciones de libertad probatoria, actuación probatoria, comunidad de la prueba. Por lo que, siendo así el agravio formulado también debe desestimarse.</w:t>
      </w:r>
    </w:p>
    <w:p w14:paraId="748D72F9"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Quinto. </w:t>
      </w:r>
      <w:r w:rsidRPr="00273024">
        <w:rPr>
          <w:rFonts w:ascii="Arial" w:hAnsi="Arial" w:cs="Arial"/>
        </w:rPr>
        <w:t>La defensa del recurrente, alega también, que no se le dio la oportunidad al procesado de aceptar o no si se acogía a la conclusión anticipada del juicio, debido a que no fue consultado por la directora de debates. De la revisión de las actas (fs. 281-349), se aprecia que, en la primera sesión del veinticinco de agosto del dos mil veintidós, la magistrada a cargo –luego de la acreditación de las partes, tomar las generales de ley del sentenciado y la exposición de la acusación fiscal por parte de la fiscal superior– sí consultó al encausado acerca de la conclusión anticipada del proceso, conforme lo previsto en la Ley 28122, Ley de Conclusión Anticipada del Proceso, quien manifestó su negativa a ello. No evidenciándose que la defensa haya cuestionado o insistido en la aplicación de la conclusión anticipada en las sucesivas sesiones y, por el contrario, sustentó en todo momento su inocencia; razón por la cual, dicha alegación no es de recibo.</w:t>
      </w:r>
    </w:p>
    <w:p w14:paraId="7180C0BA"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Sobre la determinación de la pena impuesta</w:t>
      </w:r>
    </w:p>
    <w:p w14:paraId="736E8C97"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Sexto. </w:t>
      </w:r>
      <w:r w:rsidRPr="00273024">
        <w:rPr>
          <w:rFonts w:ascii="Arial" w:hAnsi="Arial" w:cs="Arial"/>
        </w:rPr>
        <w:t>En lo concerniente a la pena impuesta, el Colegiado Superior, teniendo en cuenta la carencia de antecedentes penales y los fines de la pena, decidió imponer la sanción de treinta años de pena privativa de libertad, por debajo del mínimo legal establecido en la norma, no obstante, al no existir impugnación en ese extremo –el Dictamen Supremo 451-2023-MP-FN-FSF (foja 93 del cuadernillo supremo), es insubsistente, por haberse declarado la nulidad de la ejecutoria de fecha 25 de junio de 2023, que declaró la nulidad del concesorio, por haberse presentado de manera extemporánea; decisión que fue declara nula, mediante ejecutoria suprema de fecha septiembre del presente año</w:t>
      </w:r>
      <w:r w:rsidRPr="00273024">
        <w:rPr>
          <w:rFonts w:ascii="Arial" w:hAnsi="Arial" w:cs="Arial"/>
          <w:vertAlign w:val="superscript"/>
        </w:rPr>
        <w:t>22</w:t>
      </w:r>
      <w:r w:rsidRPr="00273024">
        <w:rPr>
          <w:rFonts w:ascii="Arial" w:hAnsi="Arial" w:cs="Arial"/>
        </w:rPr>
        <w:t>– y bajo el principio de prohibición de reforma en peor, dicha pena debe mantenerse.</w:t>
      </w:r>
    </w:p>
    <w:p w14:paraId="731461C8"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Séptimo. </w:t>
      </w:r>
      <w:r w:rsidRPr="00273024">
        <w:rPr>
          <w:rFonts w:ascii="Arial" w:hAnsi="Arial" w:cs="Arial"/>
        </w:rPr>
        <w:t>Finalmente, corresponde aclarar que, el recurrente estuvo privado de libertad preventivamente por espacio de nueve meses, conforme aparece a folio 148 del cuaderno de prisión preventiva. Por tanto, dicho plazo deberá ser descontado a la pena efectiva de 30 años, circunstancia que no fue advertida en la sentencia recurrida</w:t>
      </w:r>
    </w:p>
    <w:p w14:paraId="6FF82945"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Octavo. Asistencia Especializada a favor de la víctima</w:t>
      </w:r>
    </w:p>
    <w:p w14:paraId="1E542066" w14:textId="77777777" w:rsidR="00273024" w:rsidRPr="00273024" w:rsidRDefault="00273024" w:rsidP="00273024">
      <w:pPr>
        <w:pStyle w:val="Default"/>
        <w:spacing w:before="120"/>
        <w:jc w:val="both"/>
        <w:rPr>
          <w:rFonts w:ascii="Arial" w:hAnsi="Arial" w:cs="Arial"/>
        </w:rPr>
      </w:pPr>
      <w:r w:rsidRPr="00273024">
        <w:rPr>
          <w:rFonts w:ascii="Arial" w:hAnsi="Arial" w:cs="Arial"/>
        </w:rPr>
        <w:t>8.1. La víctima dentro del proceso penal, tiene, entre otros derechos, el de obtener una reparación integral del daño generado por la comisión del delito, la cual no puede limitarse solo a la compensación económica que se impone al pagar al responsable del daño causado.</w:t>
      </w:r>
    </w:p>
    <w:p w14:paraId="1C6BA4ED" w14:textId="77777777" w:rsidR="00273024" w:rsidRPr="00273024" w:rsidRDefault="00273024" w:rsidP="00273024">
      <w:pPr>
        <w:pStyle w:val="Default"/>
        <w:spacing w:before="120"/>
        <w:jc w:val="both"/>
        <w:rPr>
          <w:rFonts w:ascii="Arial" w:hAnsi="Arial" w:cs="Arial"/>
        </w:rPr>
      </w:pPr>
      <w:r w:rsidRPr="00273024">
        <w:rPr>
          <w:rFonts w:ascii="Arial" w:hAnsi="Arial" w:cs="Arial"/>
        </w:rPr>
        <w:t>8.2. El abuso sexual ocasiona afectación psicológica en las víctimas, fundamentalmente en los niños y niñas, muchas veces deja graves secuelas que requieren ser atendidas, en principio, como parte de la reparación civil a cargo del agresor. El Estado no puede encontrarse al margen del deber de atender a las víctimas, a través de los sistemas de salud pública, la necesidad de evaluación y, en su caso, de brindar tratamiento psicológico, terapias o la asistencia que resulte necesaria, según diagnóstico, ofreciéndole los medios necesarios para alcanzar su recuperación.</w:t>
      </w:r>
    </w:p>
    <w:p w14:paraId="68A2D097" w14:textId="77777777" w:rsidR="00273024" w:rsidRPr="00273024" w:rsidRDefault="00273024" w:rsidP="00273024">
      <w:pPr>
        <w:pStyle w:val="Default"/>
        <w:spacing w:before="120"/>
        <w:jc w:val="both"/>
        <w:rPr>
          <w:rFonts w:ascii="Arial" w:hAnsi="Arial" w:cs="Arial"/>
        </w:rPr>
      </w:pPr>
      <w:r w:rsidRPr="00273024">
        <w:rPr>
          <w:rFonts w:ascii="Arial" w:hAnsi="Arial" w:cs="Arial"/>
        </w:rPr>
        <w:t>8.3. En este sentido, resulta relevante el literal g) del artículo 4° de la Declaración sobre la eliminación de la violencia contra la mujer</w:t>
      </w:r>
      <w:r w:rsidRPr="00273024">
        <w:rPr>
          <w:rFonts w:ascii="Arial" w:hAnsi="Arial" w:cs="Arial"/>
          <w:vertAlign w:val="superscript"/>
        </w:rPr>
        <w:t>23</w:t>
      </w:r>
      <w:r w:rsidRPr="00273024">
        <w:rPr>
          <w:rFonts w:ascii="Arial" w:hAnsi="Arial" w:cs="Arial"/>
        </w:rPr>
        <w:t>, al señalar que los Estados deberán:</w:t>
      </w:r>
    </w:p>
    <w:p w14:paraId="49292F69" w14:textId="77777777" w:rsidR="00273024" w:rsidRPr="00273024" w:rsidRDefault="00273024" w:rsidP="00273024">
      <w:pPr>
        <w:pStyle w:val="Default"/>
        <w:spacing w:before="120"/>
        <w:jc w:val="both"/>
        <w:rPr>
          <w:rFonts w:ascii="Arial" w:hAnsi="Arial" w:cs="Arial"/>
        </w:rPr>
      </w:pPr>
      <w:r w:rsidRPr="00273024">
        <w:rPr>
          <w:rFonts w:ascii="Arial" w:hAnsi="Arial" w:cs="Arial"/>
        </w:rPr>
        <w:t>g) Esforzarse por garantizar, en la mayor medida posible a la luz de los recursos de que dispongan y, cuando sea necesario, dentro del marco de la cooperación internacional, que las mujeres objeto de violencia y, cuando corresponda, sus hijos, dispongan de asistencia especializada, como servicios de rehabilitación, ayuda para el cuidado y manutención de los niños, tratamiento, asesoramiento, servicios, instalaciones y programas sociales y de salud, así como estructuras de apoyo y, asimismo, adoptar todas las demás medidas adecuadas para fomentar su seguridad y rehabilitación física y psicológica.</w:t>
      </w:r>
    </w:p>
    <w:p w14:paraId="4C0CA0F7" w14:textId="77777777" w:rsidR="00273024" w:rsidRPr="00273024" w:rsidRDefault="00273024" w:rsidP="00273024">
      <w:pPr>
        <w:pStyle w:val="Default"/>
        <w:spacing w:before="120"/>
        <w:jc w:val="both"/>
        <w:rPr>
          <w:rFonts w:ascii="Arial" w:hAnsi="Arial" w:cs="Arial"/>
        </w:rPr>
      </w:pPr>
      <w:r w:rsidRPr="00273024">
        <w:rPr>
          <w:rFonts w:ascii="Arial" w:hAnsi="Arial" w:cs="Arial"/>
        </w:rPr>
        <w:t>8.4. En tal virtud, para alcanzar una reparación integral de la víctima, debe atenderse necesariamente a la recuperación del daño psicológico sufrido como consecuencia del hecho delictivo en su contra, en los delitos contra la indemnidad y libertad sexual, con especial atención en el caso de menores de edad y personas con discapacidad; por lo cual le corresponde que en ejecución de sentencia, se disponga que el Estado, en cumplimiento de lo expresamente establecido en el Código de los Niños y los Adolescentes</w:t>
      </w:r>
      <w:r w:rsidRPr="00273024">
        <w:rPr>
          <w:rFonts w:ascii="Arial" w:hAnsi="Arial" w:cs="Arial"/>
          <w:vertAlign w:val="superscript"/>
        </w:rPr>
        <w:t>24</w:t>
      </w:r>
      <w:r w:rsidRPr="00273024">
        <w:rPr>
          <w:rFonts w:ascii="Arial" w:hAnsi="Arial" w:cs="Arial"/>
        </w:rPr>
        <w:t>, previa evaluación especializada, brinde tratamiento psicológico a la agraviada y a sus familiares –de ser el caso–, para su recuperación integral, para cuyos efectos se notificará a la parte agraviada. A su vez, el artículo 20 de la Ley 30364, Ley para prevenir, sancionar y erradicar la violencia contra las mujeres y los integrantes del grupo familiar, las sentencias condenatorias emitidas que pongan fin por los delitos vinculados a los hechos que constituyen actos de violencia contra los integrantes del grupo familiar, entre los que se incluye a menores de edad, como parte de la reparación del daño causado a la víctima de violación sexual se debe imponer a su favor tratamiento terapéutico. Dicho extremo debe ser materia de integración, de conformidad con las facultades contempladas en el segundo párrafo del artículo 298 del C de PP</w:t>
      </w:r>
      <w:r w:rsidRPr="00273024">
        <w:rPr>
          <w:rFonts w:ascii="Arial" w:hAnsi="Arial" w:cs="Arial"/>
          <w:vertAlign w:val="superscript"/>
        </w:rPr>
        <w:t>25</w:t>
      </w:r>
      <w:r w:rsidRPr="00273024">
        <w:rPr>
          <w:rFonts w:ascii="Arial" w:hAnsi="Arial" w:cs="Arial"/>
        </w:rPr>
        <w:t>.</w:t>
      </w:r>
    </w:p>
    <w:p w14:paraId="1B880B0F" w14:textId="77777777" w:rsidR="00273024" w:rsidRPr="00273024" w:rsidRDefault="00273024" w:rsidP="00273024">
      <w:pPr>
        <w:pStyle w:val="Default"/>
        <w:spacing w:before="120"/>
        <w:jc w:val="center"/>
        <w:rPr>
          <w:rFonts w:ascii="Arial" w:hAnsi="Arial" w:cs="Arial"/>
          <w:b/>
          <w:bCs/>
        </w:rPr>
      </w:pPr>
      <w:r w:rsidRPr="00273024">
        <w:rPr>
          <w:rFonts w:ascii="Arial" w:hAnsi="Arial" w:cs="Arial"/>
          <w:b/>
          <w:bCs/>
        </w:rPr>
        <w:t>Decisión</w:t>
      </w:r>
    </w:p>
    <w:p w14:paraId="4D1D046F" w14:textId="77777777" w:rsidR="00273024" w:rsidRPr="00273024" w:rsidRDefault="00273024" w:rsidP="00273024">
      <w:pPr>
        <w:pStyle w:val="Default"/>
        <w:spacing w:before="120"/>
        <w:jc w:val="both"/>
        <w:rPr>
          <w:rFonts w:ascii="Arial" w:hAnsi="Arial" w:cs="Arial"/>
        </w:rPr>
      </w:pPr>
      <w:r w:rsidRPr="00273024">
        <w:rPr>
          <w:rFonts w:ascii="Arial" w:hAnsi="Arial" w:cs="Arial"/>
        </w:rPr>
        <w:t>Por estos fundamentos, los jueces integrantes de la Sala Penal Transitoria de la Corte Suprema de Justicia de la República, acordaron:</w:t>
      </w:r>
    </w:p>
    <w:p w14:paraId="6D3FE2D3" w14:textId="77777777" w:rsidR="00273024" w:rsidRPr="00273024" w:rsidRDefault="00273024" w:rsidP="00273024">
      <w:pPr>
        <w:pStyle w:val="Default"/>
        <w:spacing w:before="120"/>
        <w:jc w:val="both"/>
        <w:rPr>
          <w:rFonts w:ascii="Arial" w:hAnsi="Arial" w:cs="Arial"/>
        </w:rPr>
      </w:pPr>
      <w:r w:rsidRPr="00273024">
        <w:rPr>
          <w:rFonts w:ascii="Arial" w:hAnsi="Arial" w:cs="Arial"/>
        </w:rPr>
        <w:t xml:space="preserve">I. Declarar </w:t>
      </w:r>
      <w:r w:rsidRPr="00273024">
        <w:rPr>
          <w:rFonts w:ascii="Arial" w:hAnsi="Arial" w:cs="Arial"/>
          <w:b/>
          <w:bCs/>
        </w:rPr>
        <w:t xml:space="preserve">no haber nulidad </w:t>
      </w:r>
      <w:r w:rsidRPr="00273024">
        <w:rPr>
          <w:rFonts w:ascii="Arial" w:hAnsi="Arial" w:cs="Arial"/>
        </w:rPr>
        <w:t xml:space="preserve">en la sentencia del tres de octubre de dos mil veintidós (foja 350) emitida por la Primera Sala Penal de Apelaciones de Ate de la Corte Superior de Justicia de Lima Este, que condenó al procesado </w:t>
      </w:r>
      <w:r w:rsidRPr="00273024">
        <w:rPr>
          <w:rFonts w:ascii="Arial" w:hAnsi="Arial" w:cs="Arial"/>
          <w:b/>
          <w:bCs/>
        </w:rPr>
        <w:t xml:space="preserve">Jamer Lino Sulca Inga </w:t>
      </w:r>
      <w:r w:rsidRPr="00273024">
        <w:rPr>
          <w:rFonts w:ascii="Arial" w:hAnsi="Arial" w:cs="Arial"/>
        </w:rPr>
        <w:t>como autor del delito contra la libertad sexual-violación sexual de menor de edad, en agravio de la menor identificada con las iniciales L. Ñ. P., a treinta años de pena privativa de libertad, que será desde la fecha de su detención, fijó en S/ 5000,00 (mil soles) el monto por concepto de reparación civil y dispuso el tratamiento terapéutico del citado procesado, previo examen médico y psicológico, para facilitar su readaptación.</w:t>
      </w:r>
    </w:p>
    <w:p w14:paraId="46EDA3F3"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II. Integrar </w:t>
      </w:r>
      <w:r w:rsidRPr="00273024">
        <w:rPr>
          <w:rFonts w:ascii="Arial" w:hAnsi="Arial" w:cs="Arial"/>
        </w:rPr>
        <w:t>la citada sentencia, a fin de ordenar que la menor identificada con iniciales L. Ñ. P. sea sometida a un tratamiento psicológico adecuado, a cargo del Ministerio de Salud, y cuya supervisión estará a cargo del juez de ejecución.</w:t>
      </w:r>
    </w:p>
    <w:p w14:paraId="25B77F50" w14:textId="77777777" w:rsidR="00273024" w:rsidRPr="00273024" w:rsidRDefault="00273024" w:rsidP="00273024">
      <w:pPr>
        <w:pStyle w:val="Default"/>
        <w:spacing w:before="120"/>
        <w:jc w:val="both"/>
        <w:rPr>
          <w:rFonts w:ascii="Arial" w:hAnsi="Arial" w:cs="Arial"/>
        </w:rPr>
      </w:pPr>
      <w:r w:rsidRPr="00273024">
        <w:rPr>
          <w:rFonts w:ascii="Arial" w:hAnsi="Arial" w:cs="Arial"/>
          <w:b/>
          <w:bCs/>
        </w:rPr>
        <w:t xml:space="preserve">III. Devolver </w:t>
      </w:r>
      <w:r w:rsidRPr="00273024">
        <w:rPr>
          <w:rFonts w:ascii="Arial" w:hAnsi="Arial" w:cs="Arial"/>
        </w:rPr>
        <w:t>los autos al Tribunal Superior para los fines de ley y se haga saber a las partes procesales apersonadas en esta sede suprema.</w:t>
      </w:r>
    </w:p>
    <w:p w14:paraId="0B9BF855" w14:textId="77777777" w:rsidR="00273024" w:rsidRPr="00273024" w:rsidRDefault="00273024" w:rsidP="00273024">
      <w:pPr>
        <w:pStyle w:val="Default"/>
        <w:spacing w:before="120"/>
        <w:jc w:val="both"/>
        <w:rPr>
          <w:rFonts w:ascii="Arial" w:hAnsi="Arial" w:cs="Arial"/>
        </w:rPr>
      </w:pPr>
      <w:r w:rsidRPr="00273024">
        <w:rPr>
          <w:rFonts w:ascii="Arial" w:hAnsi="Arial" w:cs="Arial"/>
        </w:rPr>
        <w:t>Intervino el juez supremo Campos Barranzuela, por impedimento del magistrado Prado Saldarriaga.</w:t>
      </w:r>
    </w:p>
    <w:p w14:paraId="7992874D"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S. S.</w:t>
      </w:r>
    </w:p>
    <w:p w14:paraId="055D9E8B" w14:textId="77777777" w:rsidR="00273024" w:rsidRPr="00273024" w:rsidRDefault="00273024" w:rsidP="00273024">
      <w:pPr>
        <w:pStyle w:val="Default"/>
        <w:spacing w:before="120"/>
        <w:jc w:val="both"/>
        <w:rPr>
          <w:rFonts w:ascii="Arial" w:hAnsi="Arial" w:cs="Arial"/>
          <w:b/>
          <w:bCs/>
        </w:rPr>
      </w:pPr>
      <w:r w:rsidRPr="00273024">
        <w:rPr>
          <w:rFonts w:ascii="Arial" w:hAnsi="Arial" w:cs="Arial"/>
          <w:b/>
          <w:bCs/>
        </w:rPr>
        <w:t>Baca Cabrera</w:t>
      </w:r>
    </w:p>
    <w:p w14:paraId="739800DA" w14:textId="77777777" w:rsidR="00273024" w:rsidRPr="00273024" w:rsidRDefault="00273024" w:rsidP="00273024">
      <w:pPr>
        <w:pStyle w:val="Default"/>
        <w:spacing w:before="120"/>
        <w:jc w:val="both"/>
        <w:rPr>
          <w:rFonts w:ascii="Arial" w:hAnsi="Arial" w:cs="Arial"/>
        </w:rPr>
      </w:pPr>
      <w:r w:rsidRPr="00273024">
        <w:rPr>
          <w:rFonts w:ascii="Arial" w:hAnsi="Arial" w:cs="Arial"/>
        </w:rPr>
        <w:t>Terrel Crispin</w:t>
      </w:r>
    </w:p>
    <w:p w14:paraId="29659A8A" w14:textId="77777777" w:rsidR="00273024" w:rsidRPr="00273024" w:rsidRDefault="00273024" w:rsidP="00273024">
      <w:pPr>
        <w:pStyle w:val="Default"/>
        <w:spacing w:before="120"/>
        <w:jc w:val="both"/>
        <w:rPr>
          <w:rFonts w:ascii="Arial" w:hAnsi="Arial" w:cs="Arial"/>
        </w:rPr>
      </w:pPr>
      <w:r w:rsidRPr="00273024">
        <w:rPr>
          <w:rFonts w:ascii="Arial" w:hAnsi="Arial" w:cs="Arial"/>
        </w:rPr>
        <w:t>Vásquez Vargas</w:t>
      </w:r>
    </w:p>
    <w:p w14:paraId="39E676FA" w14:textId="77777777" w:rsidR="00273024" w:rsidRPr="00273024" w:rsidRDefault="00273024" w:rsidP="00273024">
      <w:pPr>
        <w:pStyle w:val="Default"/>
        <w:spacing w:before="120"/>
        <w:jc w:val="both"/>
        <w:rPr>
          <w:rFonts w:ascii="Arial" w:hAnsi="Arial" w:cs="Arial"/>
        </w:rPr>
      </w:pPr>
      <w:r w:rsidRPr="00273024">
        <w:rPr>
          <w:rFonts w:ascii="Arial" w:hAnsi="Arial" w:cs="Arial"/>
        </w:rPr>
        <w:t>Campos Barranzuela</w:t>
      </w:r>
    </w:p>
    <w:p w14:paraId="596F1C4D" w14:textId="77777777" w:rsidR="00273024" w:rsidRPr="00273024" w:rsidRDefault="00273024" w:rsidP="00273024">
      <w:pPr>
        <w:spacing w:before="120"/>
        <w:rPr>
          <w:rFonts w:cs="Arial"/>
          <w:sz w:val="24"/>
          <w:szCs w:val="24"/>
        </w:rPr>
      </w:pPr>
      <w:r w:rsidRPr="00273024">
        <w:rPr>
          <w:rFonts w:cs="Arial"/>
          <w:sz w:val="24"/>
          <w:szCs w:val="24"/>
        </w:rPr>
        <w:t>Báscones Gómez Velásquez</w:t>
      </w:r>
    </w:p>
    <w:p w14:paraId="169D9AC1" w14:textId="77777777" w:rsidR="00273024" w:rsidRPr="00273024" w:rsidRDefault="00273024" w:rsidP="00273024">
      <w:pPr>
        <w:spacing w:before="120"/>
        <w:rPr>
          <w:rFonts w:cs="Arial"/>
          <w:sz w:val="24"/>
          <w:szCs w:val="24"/>
        </w:rPr>
      </w:pPr>
      <w:r w:rsidRPr="00273024">
        <w:rPr>
          <w:rFonts w:cs="Arial"/>
          <w:sz w:val="24"/>
          <w:szCs w:val="24"/>
        </w:rPr>
        <w:t>__________</w:t>
      </w:r>
    </w:p>
    <w:p w14:paraId="37469D5B" w14:textId="77777777" w:rsidR="00273024" w:rsidRPr="00273024" w:rsidRDefault="00273024" w:rsidP="00273024">
      <w:pPr>
        <w:spacing w:before="120"/>
        <w:rPr>
          <w:rFonts w:cs="Arial"/>
          <w:szCs w:val="24"/>
        </w:rPr>
      </w:pPr>
      <w:r w:rsidRPr="00273024">
        <w:rPr>
          <w:rFonts w:cs="Arial"/>
          <w:szCs w:val="24"/>
        </w:rPr>
        <w:t>1 Folios 240 a 248.</w:t>
      </w:r>
    </w:p>
    <w:p w14:paraId="2B0F6B3A" w14:textId="77777777" w:rsidR="00273024" w:rsidRPr="00273024" w:rsidRDefault="00273024" w:rsidP="00273024">
      <w:pPr>
        <w:spacing w:before="120"/>
        <w:rPr>
          <w:rFonts w:cs="Arial"/>
          <w:szCs w:val="24"/>
        </w:rPr>
      </w:pPr>
      <w:r w:rsidRPr="00273024">
        <w:rPr>
          <w:rFonts w:cs="Arial"/>
          <w:szCs w:val="24"/>
        </w:rPr>
        <w:t>2 Publicada el 1 de agosto del 2018, en el Diario Oficial El Peruano.</w:t>
      </w:r>
    </w:p>
    <w:p w14:paraId="09914845" w14:textId="77777777" w:rsidR="00273024" w:rsidRPr="00273024" w:rsidRDefault="00273024" w:rsidP="00273024">
      <w:pPr>
        <w:spacing w:before="120"/>
        <w:rPr>
          <w:rFonts w:cs="Arial"/>
          <w:szCs w:val="24"/>
        </w:rPr>
      </w:pPr>
      <w:r w:rsidRPr="00273024">
        <w:rPr>
          <w:rFonts w:cs="Arial"/>
          <w:szCs w:val="24"/>
        </w:rPr>
        <w:t>3 Folio 350.</w:t>
      </w:r>
    </w:p>
    <w:p w14:paraId="258E3B63"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 xml:space="preserve">4 El referido acuerdo plenario, en su fundamento jurídico 11, tercer párrafo, señala que, en vía de impugnación, la justicia ordinaria se encuentra habilitada para integrar o </w:t>
      </w:r>
      <w:r w:rsidRPr="00273024">
        <w:rPr>
          <w:rFonts w:ascii="Arial" w:hAnsi="Arial" w:cs="Arial"/>
          <w:sz w:val="20"/>
          <w:u w:val="single"/>
        </w:rPr>
        <w:t>corregir la falta de motivación de la sentencia recurrida en tanto se trata de defecto estructural de la propia decisión impugnada, siempre que aun faltando expresa nominación de la razón, la sentencia contenga en sus fundamentos jurídicos, todas las circunstancias acaecidas</w:t>
      </w:r>
      <w:r w:rsidRPr="00273024">
        <w:rPr>
          <w:rFonts w:ascii="Arial" w:hAnsi="Arial" w:cs="Arial"/>
          <w:sz w:val="20"/>
        </w:rPr>
        <w:t>.</w:t>
      </w:r>
    </w:p>
    <w:p w14:paraId="5C8900E8" w14:textId="77777777" w:rsidR="00273024" w:rsidRPr="00273024" w:rsidRDefault="00273024" w:rsidP="00273024">
      <w:pPr>
        <w:spacing w:before="120"/>
        <w:rPr>
          <w:rFonts w:cs="Arial"/>
          <w:szCs w:val="24"/>
        </w:rPr>
      </w:pPr>
      <w:r w:rsidRPr="00273024">
        <w:rPr>
          <w:rFonts w:cs="Arial"/>
          <w:szCs w:val="24"/>
        </w:rPr>
        <w:t>5 Corte Interamericana de Derechos Humanos. Caso Espinoza Gonzales vs. Perú.</w:t>
      </w:r>
    </w:p>
    <w:p w14:paraId="0EF4AA1D"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Excepciones preliminares, fondo, reparaciones y costas. Sentencia del veinte de noviembre de dos mil catorce. “Dada la naturaleza de estas formas de violencia, no se puede esperar la existencia de pruebas gráficas o documentales y, por ello, la declaración de la víctima constituye una prueba fundamental sobre el hecho. Asimismo, al analizar dichas declaraciones se debe tomar en cuenta que las agresiones sexuales corresponden a un tipo de delito que la víctima no suele denunciar, por el estigma que dicha denuncia conlleva usualmente. La Corte, igualmente, ha tenido en cuenta que las declaraciones brindadas por las víctimas de violencia sexual se refieren a un momento traumático de ellas, cuyo impacto puede derivar en determinadas imprecisiones al recordarlos. Por ello, la Corte ha advertido que las imprecisiones en declaraciones relacionadas a violencia sexual o la mención de algunos de los hechos alegados solamente en algunas de estas no significa que sean falsas o que los hechos relatados carezcan de veracidad”. (párr. 150).</w:t>
      </w:r>
    </w:p>
    <w:p w14:paraId="5B2EC83D"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 xml:space="preserve">6 Comisión Interamericana de Derechos Humanos. Organización de los Estados Americanos. </w:t>
      </w:r>
      <w:r w:rsidRPr="00273024">
        <w:rPr>
          <w:rFonts w:ascii="Arial" w:hAnsi="Arial" w:cs="Arial"/>
          <w:i/>
          <w:iCs/>
          <w:sz w:val="20"/>
        </w:rPr>
        <w:t>Acceso a la justicia para las mujeres víctimas de violencia en las Américas</w:t>
      </w:r>
      <w:r w:rsidRPr="00273024">
        <w:rPr>
          <w:rFonts w:ascii="Arial" w:hAnsi="Arial" w:cs="Arial"/>
          <w:sz w:val="20"/>
        </w:rPr>
        <w:t>. Ser.L/V/II. Doc. 68, enero, 2007. “La influencia de patrones socioculturales discriminatorios puede dar como resultado una descalificación de la credibilidad de la víctima durante el proceso penal en casos de violencia y una asunción tácita de responsabilidad de ella por los hechos, ya sea por su forma de vestir, por su ocupación laboral, conducta sexual, relación o parentesco con el agresor, lo cual se traduce en inacción por parte de los fiscales, policías y jueces ante denuncias de hechos violentos. Esta influencia también puede afectar en forma negativa la investigación de los casos y la valoración de la prueba subsiguiente, que puede verse marcada por nociones estereotipadas sobre cuál debe ser el comportamiento de las mujeres en sus relaciones interpersonales”. (párr. 155).</w:t>
      </w:r>
    </w:p>
    <w:p w14:paraId="2CC4C4B9"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7 Acuerdo Plenario 1-2011/CJ-116, del seis de diciembre de dos mil once. Asunto: apreciación de la prueba en los delitos contra la libertad sexual. “El Estado ha de mostrar una función tuitiva respecto a la víctima que denuncia una agresión sexual, como criterio de justicia y por fines de eficacia probatoria. La victimización secundaria hace referencia a la mala o inadecuada atención que recibe una víctima por parte del sistema penal, e instituciones de salud, policía, entre otros. La revictimización también incluye la mala intervención psicológica terapéutica o médica que brindan profesionales mal entrenados para atender situaciones que revisten características particulares. La víctima de una agresión sexual sufre por el propio hecho en sí; y por la dolorosa experiencia de repetir el suceso vivido a los profesionales de las diferentes instituciones sucesivamente: familia, pediatra, trabajadora social, médico forense, policía, psicólogo, juez, abogado del acusado. En efecto, el trauma de la víctima del abuso sexual se prolonga cuando debe enfrentarse a los interrogatorios que contempla el sistema de justicia”. (Considerando 37)</w:t>
      </w:r>
    </w:p>
    <w:p w14:paraId="13BBAAA7" w14:textId="77777777" w:rsidR="00273024" w:rsidRPr="00273024" w:rsidRDefault="00273024" w:rsidP="00273024">
      <w:pPr>
        <w:spacing w:before="120"/>
        <w:rPr>
          <w:rFonts w:cs="Arial"/>
          <w:szCs w:val="24"/>
        </w:rPr>
      </w:pPr>
      <w:r w:rsidRPr="00273024">
        <w:rPr>
          <w:rFonts w:cs="Arial"/>
          <w:szCs w:val="24"/>
        </w:rPr>
        <w:t>8 Folio 15</w:t>
      </w:r>
    </w:p>
    <w:p w14:paraId="218E7A0C"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9 Corte Suprema de Justicia de la República. Recurso de Nulidad 1200-2018/Lima Norte.</w:t>
      </w:r>
    </w:p>
    <w:p w14:paraId="71ECECBB"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10 Ver acta de sesión de juicio oral del 05/09/2022, obra a folio 300.</w:t>
      </w:r>
    </w:p>
    <w:p w14:paraId="2942C1FD"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11 Ver acta de sesión de juicio oral del 06/09/ 2022, obra a folio 302.</w:t>
      </w:r>
    </w:p>
    <w:p w14:paraId="0118CAB9" w14:textId="77777777" w:rsidR="00273024" w:rsidRPr="00273024" w:rsidRDefault="00273024" w:rsidP="00273024">
      <w:pPr>
        <w:spacing w:before="120"/>
        <w:rPr>
          <w:rFonts w:cs="Arial"/>
          <w:szCs w:val="24"/>
        </w:rPr>
      </w:pPr>
      <w:r w:rsidRPr="00273024">
        <w:rPr>
          <w:rFonts w:cs="Arial"/>
          <w:szCs w:val="24"/>
        </w:rPr>
        <w:t>12 Folio 15.</w:t>
      </w:r>
    </w:p>
    <w:p w14:paraId="2F25DD72"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13 Folios 238-239.</w:t>
      </w:r>
    </w:p>
    <w:p w14:paraId="5AAD27C5"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14 Folio 298.</w:t>
      </w:r>
    </w:p>
    <w:p w14:paraId="3FDB8F3D"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15 Folios 46-50.</w:t>
      </w:r>
    </w:p>
    <w:p w14:paraId="6512F112" w14:textId="77777777" w:rsidR="00273024" w:rsidRPr="00273024" w:rsidRDefault="00273024" w:rsidP="00273024">
      <w:pPr>
        <w:spacing w:before="120"/>
        <w:rPr>
          <w:rFonts w:cs="Arial"/>
          <w:szCs w:val="24"/>
        </w:rPr>
      </w:pPr>
      <w:r w:rsidRPr="00273024">
        <w:rPr>
          <w:rFonts w:cs="Arial"/>
          <w:szCs w:val="24"/>
        </w:rPr>
        <w:t>16 Folio 332. Acta de sesión X de fecha 23 de septiembre del 2022, el sentenciado Jamer Lino Sulca Inga.</w:t>
      </w:r>
    </w:p>
    <w:p w14:paraId="22B73E8B" w14:textId="77777777" w:rsidR="00273024" w:rsidRPr="00273024" w:rsidRDefault="00273024" w:rsidP="00273024">
      <w:pPr>
        <w:spacing w:before="120"/>
        <w:rPr>
          <w:rFonts w:cs="Arial"/>
          <w:szCs w:val="24"/>
        </w:rPr>
      </w:pPr>
      <w:r w:rsidRPr="00273024">
        <w:rPr>
          <w:rFonts w:cs="Arial"/>
          <w:szCs w:val="24"/>
        </w:rPr>
        <w:t>17 Folio 4.</w:t>
      </w:r>
    </w:p>
    <w:p w14:paraId="6AE72FC3"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 xml:space="preserve">18 </w:t>
      </w:r>
      <w:r w:rsidRPr="00273024">
        <w:rPr>
          <w:rFonts w:ascii="Arial" w:hAnsi="Arial" w:cs="Arial"/>
          <w:b/>
          <w:bCs/>
          <w:sz w:val="20"/>
        </w:rPr>
        <w:t>Durante la sesión de juicio oral del 9 de septiembre del 2022</w:t>
      </w:r>
      <w:r w:rsidRPr="00273024">
        <w:rPr>
          <w:rFonts w:ascii="Arial" w:hAnsi="Arial" w:cs="Arial"/>
          <w:sz w:val="20"/>
        </w:rPr>
        <w:t>, la defensa formuló la siguiente pregunta:</w:t>
      </w:r>
    </w:p>
    <w:p w14:paraId="422040CE"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¿la menor en el certificado médico legal y en cámara Gesell dijo que no tuvo actos contra natura esto guarda relación con actos contra natura reciente?, a lo que dijo: Sí, de acuerdo a mí experiencia, debo indicar que las menores a veces refieren no haber tenido actos contra natura, pero sí tuvieron, porque no es lo mismo hablar con una persona con experiencia sexual que una menor sin experiencia sexual, por lo que no me da certeza, pero lo que da certeza es lo que yo vi.</w:t>
      </w:r>
    </w:p>
    <w:p w14:paraId="6A62E724" w14:textId="77777777" w:rsidR="00273024" w:rsidRPr="00273024" w:rsidRDefault="00273024" w:rsidP="00273024">
      <w:pPr>
        <w:spacing w:before="120"/>
        <w:rPr>
          <w:rFonts w:cs="Arial"/>
          <w:szCs w:val="24"/>
        </w:rPr>
      </w:pPr>
      <w:r w:rsidRPr="00273024">
        <w:rPr>
          <w:rFonts w:cs="Arial"/>
          <w:szCs w:val="24"/>
        </w:rPr>
        <w:t>19 Apartado 21.4 de la Resolución Administrativa 227-2019-CE-PJ.</w:t>
      </w:r>
    </w:p>
    <w:p w14:paraId="6F4A34C7" w14:textId="77777777" w:rsidR="00273024" w:rsidRPr="00273024" w:rsidRDefault="00273024" w:rsidP="00273024">
      <w:pPr>
        <w:spacing w:before="120"/>
        <w:rPr>
          <w:rFonts w:cs="Arial"/>
          <w:szCs w:val="24"/>
        </w:rPr>
      </w:pPr>
      <w:r w:rsidRPr="00273024">
        <w:rPr>
          <w:rFonts w:cs="Arial"/>
          <w:szCs w:val="24"/>
        </w:rPr>
        <w:t>20 Valdez Marrou, Alex Antonio. La prueba en el proceso penal ante las contradicciones jurisprudenciales: prueba ilícita, preclusión procesal y libertad probatoria. Revista</w:t>
      </w:r>
    </w:p>
    <w:p w14:paraId="0CD7BB4B" w14:textId="77777777" w:rsidR="00273024" w:rsidRPr="00273024" w:rsidRDefault="00273024" w:rsidP="00273024">
      <w:pPr>
        <w:spacing w:before="120"/>
        <w:rPr>
          <w:rFonts w:cs="Arial"/>
          <w:szCs w:val="24"/>
        </w:rPr>
      </w:pPr>
      <w:r w:rsidRPr="00273024">
        <w:rPr>
          <w:rFonts w:cs="Arial"/>
          <w:szCs w:val="24"/>
        </w:rPr>
        <w:t>21 Folios 288-292.</w:t>
      </w:r>
    </w:p>
    <w:p w14:paraId="4B38EF9B"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22 Folios 224-227 del cuaderno de nulidad.</w:t>
      </w:r>
    </w:p>
    <w:p w14:paraId="624CF276" w14:textId="77777777" w:rsidR="00273024" w:rsidRPr="00273024" w:rsidRDefault="00273024" w:rsidP="00273024">
      <w:pPr>
        <w:spacing w:before="120"/>
        <w:rPr>
          <w:rFonts w:cs="Arial"/>
          <w:szCs w:val="24"/>
        </w:rPr>
      </w:pPr>
      <w:r w:rsidRPr="00273024">
        <w:rPr>
          <w:rFonts w:cs="Arial"/>
          <w:szCs w:val="24"/>
        </w:rPr>
        <w:t>23 Adoptada en la 85 Sesión Plenaria del 20 de diciembre de 1993 de la Organización de Naciones Unidas.</w:t>
      </w:r>
    </w:p>
    <w:p w14:paraId="3CFE7AF3"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 xml:space="preserve">24 </w:t>
      </w:r>
      <w:r w:rsidRPr="00273024">
        <w:rPr>
          <w:rFonts w:ascii="Arial" w:hAnsi="Arial" w:cs="Arial"/>
          <w:b/>
          <w:bCs/>
          <w:sz w:val="20"/>
        </w:rPr>
        <w:t>Artículo 38. Programas para niños y adolescentes maltratados o víctimas de violencia sexual</w:t>
      </w:r>
      <w:r w:rsidRPr="00273024">
        <w:rPr>
          <w:rFonts w:ascii="Arial" w:hAnsi="Arial" w:cs="Arial"/>
          <w:sz w:val="20"/>
        </w:rPr>
        <w:t>.</w:t>
      </w:r>
    </w:p>
    <w:p w14:paraId="09BF8D34"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El niño o el adolescente víctimas de maltrato físico, psicológico o de violencia sexual merecen que se les brinde atención integral mediante programas que promuevan su recuperación física y psicológica. El servicio está a cargo del Sector Salud. Estos programas deberán incluir a la familia</w:t>
      </w:r>
    </w:p>
    <w:p w14:paraId="1498BDF7" w14:textId="77777777" w:rsidR="00273024" w:rsidRPr="00273024" w:rsidRDefault="00273024" w:rsidP="00273024">
      <w:pPr>
        <w:pStyle w:val="Default"/>
        <w:spacing w:before="120"/>
        <w:jc w:val="both"/>
        <w:rPr>
          <w:rFonts w:ascii="Arial" w:hAnsi="Arial" w:cs="Arial"/>
          <w:b/>
          <w:bCs/>
          <w:sz w:val="20"/>
        </w:rPr>
      </w:pPr>
      <w:r w:rsidRPr="00273024">
        <w:rPr>
          <w:rFonts w:ascii="Arial" w:hAnsi="Arial" w:cs="Arial"/>
          <w:sz w:val="20"/>
        </w:rPr>
        <w:t xml:space="preserve">25 </w:t>
      </w:r>
      <w:r w:rsidRPr="00273024">
        <w:rPr>
          <w:rFonts w:ascii="Arial" w:hAnsi="Arial" w:cs="Arial"/>
          <w:b/>
          <w:bCs/>
          <w:sz w:val="20"/>
        </w:rPr>
        <w:t>Artículo 298. Causales de nulidad</w:t>
      </w:r>
    </w:p>
    <w:p w14:paraId="42BC5771" w14:textId="77777777" w:rsidR="00273024" w:rsidRPr="00273024" w:rsidRDefault="00273024" w:rsidP="00273024">
      <w:pPr>
        <w:pStyle w:val="Default"/>
        <w:spacing w:before="120"/>
        <w:jc w:val="both"/>
        <w:rPr>
          <w:rFonts w:ascii="Arial" w:hAnsi="Arial" w:cs="Arial"/>
          <w:sz w:val="20"/>
        </w:rPr>
      </w:pPr>
      <w:r w:rsidRPr="00273024">
        <w:rPr>
          <w:rFonts w:ascii="Arial" w:hAnsi="Arial" w:cs="Arial"/>
          <w:sz w:val="20"/>
        </w:rPr>
        <w:t>(...)</w:t>
      </w:r>
    </w:p>
    <w:p w14:paraId="4E73520E" w14:textId="77777777" w:rsidR="00273024" w:rsidRPr="00273024" w:rsidRDefault="00273024" w:rsidP="00273024">
      <w:pPr>
        <w:spacing w:before="120"/>
        <w:rPr>
          <w:rFonts w:cs="Arial"/>
          <w:b/>
          <w:bCs/>
          <w:szCs w:val="20"/>
        </w:rPr>
      </w:pPr>
      <w:r w:rsidRPr="00273024">
        <w:rPr>
          <w:rFonts w:cs="Arial"/>
          <w:szCs w:val="24"/>
        </w:rPr>
        <w:t xml:space="preserve">No procede declarar la nulidad tratándose de vicios procesales susceptibles de ser subsanados; o que no afecten el sentido de la resolución. </w:t>
      </w:r>
      <w:r w:rsidRPr="00273024">
        <w:rPr>
          <w:rFonts w:cs="Arial"/>
          <w:b/>
          <w:bCs/>
          <w:szCs w:val="24"/>
        </w:rPr>
        <w:t xml:space="preserve">Los jueces y tribunales están facultados </w:t>
      </w:r>
      <w:r w:rsidRPr="00273024">
        <w:rPr>
          <w:rFonts w:cs="Arial"/>
          <w:szCs w:val="24"/>
        </w:rPr>
        <w:t xml:space="preserve">para contemplar o </w:t>
      </w:r>
      <w:r w:rsidRPr="00273024">
        <w:rPr>
          <w:rFonts w:cs="Arial"/>
          <w:b/>
          <w:bCs/>
          <w:szCs w:val="24"/>
        </w:rPr>
        <w:t xml:space="preserve">integrar </w:t>
      </w:r>
      <w:r w:rsidRPr="00273024">
        <w:rPr>
          <w:rFonts w:cs="Arial"/>
          <w:szCs w:val="24"/>
        </w:rPr>
        <w:t xml:space="preserve">en lo accesorios, incidental o subsidiario, </w:t>
      </w:r>
      <w:r w:rsidRPr="00273024">
        <w:rPr>
          <w:rFonts w:cs="Arial"/>
          <w:b/>
          <w:bCs/>
          <w:szCs w:val="24"/>
        </w:rPr>
        <w:t>los fallos o resoluciones judiciales.</w:t>
      </w:r>
    </w:p>
    <w:p w14:paraId="391FD248" w14:textId="77777777" w:rsidR="00273024" w:rsidRPr="00273024" w:rsidRDefault="00273024" w:rsidP="00273024">
      <w:pPr>
        <w:rPr>
          <w:rFonts w:cs="Arial"/>
        </w:rPr>
      </w:pPr>
    </w:p>
    <w:p w14:paraId="02E375DB" w14:textId="6BB29EB0" w:rsidR="002017D0" w:rsidRPr="00273024" w:rsidRDefault="00273024" w:rsidP="00273024">
      <w:pPr>
        <w:jc w:val="center"/>
        <w:rPr>
          <w:rFonts w:cs="Arial"/>
        </w:rPr>
      </w:pPr>
      <w:r w:rsidRPr="00273024">
        <w:rPr>
          <w:rFonts w:cs="Arial"/>
        </w:rPr>
        <w:t>Documento publicado en la página web del Poder Judicial.</w:t>
      </w:r>
    </w:p>
    <w:sectPr w:rsidR="002017D0" w:rsidRPr="0027302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BE2FA" w14:textId="77777777" w:rsidR="00FB3A30" w:rsidRDefault="00FB3A30" w:rsidP="00273024">
      <w:r>
        <w:separator/>
      </w:r>
    </w:p>
  </w:endnote>
  <w:endnote w:type="continuationSeparator" w:id="0">
    <w:p w14:paraId="45E2E218" w14:textId="77777777" w:rsidR="00FB3A30" w:rsidRDefault="00FB3A30" w:rsidP="0027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C980" w14:textId="35F02BAD" w:rsidR="00273024" w:rsidRPr="00ED2292" w:rsidRDefault="00273024" w:rsidP="00D74B9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7332C635" wp14:editId="6CE55B65">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p w14:paraId="31E2E0EB" w14:textId="77777777" w:rsidR="00273024" w:rsidRDefault="002730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68D25" w14:textId="77777777" w:rsidR="00FB3A30" w:rsidRDefault="00FB3A30" w:rsidP="00273024">
      <w:r>
        <w:separator/>
      </w:r>
    </w:p>
  </w:footnote>
  <w:footnote w:type="continuationSeparator" w:id="0">
    <w:p w14:paraId="6B97F17A" w14:textId="77777777" w:rsidR="00FB3A30" w:rsidRDefault="00FB3A30" w:rsidP="0027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B51B" w14:textId="314B4266" w:rsidR="00273024" w:rsidRDefault="00273024">
    <w:pPr>
      <w:pStyle w:val="Encabezado"/>
    </w:pPr>
    <w:r>
      <w:rPr>
        <w:noProof/>
        <w:lang w:eastAsia="es-PE"/>
      </w:rPr>
      <w:drawing>
        <wp:inline distT="0" distB="0" distL="0" distR="0" wp14:anchorId="1809185D" wp14:editId="20D54881">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24"/>
    <w:rsid w:val="0002405D"/>
    <w:rsid w:val="000526BE"/>
    <w:rsid w:val="00096CEC"/>
    <w:rsid w:val="00133291"/>
    <w:rsid w:val="002017D0"/>
    <w:rsid w:val="00273024"/>
    <w:rsid w:val="00580259"/>
    <w:rsid w:val="00615327"/>
    <w:rsid w:val="007F0EA7"/>
    <w:rsid w:val="008066EB"/>
    <w:rsid w:val="008F2267"/>
    <w:rsid w:val="00AA3083"/>
    <w:rsid w:val="00BB3261"/>
    <w:rsid w:val="00C32D53"/>
    <w:rsid w:val="00D361DE"/>
    <w:rsid w:val="00F22DD5"/>
    <w:rsid w:val="00FB3A30"/>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F354"/>
  <w15:chartTrackingRefBased/>
  <w15:docId w15:val="{460D3C59-2225-4C15-8A3A-5C87FFF5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24"/>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73024"/>
    <w:pPr>
      <w:tabs>
        <w:tab w:val="center" w:pos="4252"/>
        <w:tab w:val="right" w:pos="8504"/>
      </w:tabs>
    </w:pPr>
  </w:style>
  <w:style w:type="character" w:customStyle="1" w:styleId="EncabezadoCar">
    <w:name w:val="Encabezado Car"/>
    <w:basedOn w:val="Fuentedeprrafopredeter"/>
    <w:link w:val="Encabezado"/>
    <w:uiPriority w:val="99"/>
    <w:rsid w:val="00273024"/>
    <w:rPr>
      <w:rFonts w:ascii="Arial" w:hAnsi="Arial"/>
      <w:sz w:val="20"/>
    </w:rPr>
  </w:style>
  <w:style w:type="paragraph" w:styleId="Piedepgina">
    <w:name w:val="footer"/>
    <w:basedOn w:val="Normal"/>
    <w:link w:val="PiedepginaCar"/>
    <w:uiPriority w:val="99"/>
    <w:unhideWhenUsed/>
    <w:rsid w:val="00273024"/>
    <w:pPr>
      <w:tabs>
        <w:tab w:val="center" w:pos="4252"/>
        <w:tab w:val="right" w:pos="8504"/>
      </w:tabs>
    </w:pPr>
  </w:style>
  <w:style w:type="character" w:customStyle="1" w:styleId="PiedepginaCar">
    <w:name w:val="Pie de página Car"/>
    <w:basedOn w:val="Fuentedeprrafopredeter"/>
    <w:link w:val="Piedepgina"/>
    <w:uiPriority w:val="99"/>
    <w:rsid w:val="00273024"/>
    <w:rPr>
      <w:rFonts w:ascii="Arial" w:hAnsi="Arial"/>
      <w:sz w:val="20"/>
    </w:rPr>
  </w:style>
  <w:style w:type="paragraph" w:customStyle="1" w:styleId="Default">
    <w:name w:val="Default"/>
    <w:rsid w:val="0027302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5653</Words>
  <Characters>31092</Characters>
  <Application>Microsoft Office Word</Application>
  <DocSecurity>0</DocSecurity>
  <Lines>259</Lines>
  <Paragraphs>73</Paragraphs>
  <ScaleCrop>false</ScaleCrop>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 J E A ***</cp:lastModifiedBy>
  <cp:revision>1</cp:revision>
  <dcterms:created xsi:type="dcterms:W3CDTF">2026-05-10T23:18:00Z</dcterms:created>
  <dcterms:modified xsi:type="dcterms:W3CDTF">2026-05-10T23:18:00Z</dcterms:modified>
</cp:coreProperties>
</file>