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BA625" w14:textId="77777777" w:rsidR="003A106A" w:rsidRPr="003A106A" w:rsidRDefault="003A106A" w:rsidP="003538C8">
      <w:pPr>
        <w:spacing w:before="120"/>
        <w:jc w:val="center"/>
        <w:rPr>
          <w:b/>
          <w:bCs/>
          <w:sz w:val="24"/>
        </w:rPr>
      </w:pPr>
      <w:bookmarkStart w:id="0" w:name="_GoBack"/>
      <w:bookmarkEnd w:id="0"/>
      <w:r w:rsidRPr="003A106A">
        <w:rPr>
          <w:b/>
          <w:bCs/>
          <w:sz w:val="24"/>
        </w:rPr>
        <w:t>Amplían alcance de la presentación electrónica de partes consulares que contienen actos inscribibles vinculados al acto de otorgamiento de poder, y dictan otras disposiciones</w:t>
      </w:r>
    </w:p>
    <w:p w14:paraId="7AC781B8" w14:textId="663D4F54" w:rsidR="003A106A" w:rsidRPr="003A106A" w:rsidRDefault="003A106A" w:rsidP="003538C8">
      <w:pPr>
        <w:spacing w:before="120"/>
        <w:jc w:val="center"/>
        <w:rPr>
          <w:b/>
          <w:bCs/>
          <w:sz w:val="24"/>
        </w:rPr>
      </w:pPr>
      <w:r w:rsidRPr="003A106A">
        <w:rPr>
          <w:b/>
          <w:bCs/>
          <w:sz w:val="24"/>
        </w:rPr>
        <w:t>Resolución de la Superintendencia Nacional de los Registros Públicos N.° 00164-2025-Sunarp/SN</w:t>
      </w:r>
    </w:p>
    <w:p w14:paraId="459F818A" w14:textId="25CE2104" w:rsidR="003A106A" w:rsidRPr="003A106A" w:rsidRDefault="003A106A" w:rsidP="003538C8">
      <w:pPr>
        <w:spacing w:before="120"/>
        <w:rPr>
          <w:sz w:val="24"/>
        </w:rPr>
      </w:pPr>
      <w:r w:rsidRPr="003A106A">
        <w:rPr>
          <w:sz w:val="24"/>
        </w:rPr>
        <w:t>Lima, 29 de octubre del 2025</w:t>
      </w:r>
    </w:p>
    <w:p w14:paraId="1C0034D7" w14:textId="7224775B" w:rsidR="003A106A" w:rsidRPr="003A106A" w:rsidRDefault="003A106A" w:rsidP="003538C8">
      <w:pPr>
        <w:spacing w:before="120"/>
        <w:rPr>
          <w:sz w:val="24"/>
        </w:rPr>
      </w:pPr>
      <w:r w:rsidRPr="003A106A">
        <w:rPr>
          <w:sz w:val="24"/>
        </w:rPr>
        <w:t>Vistos:</w:t>
      </w:r>
    </w:p>
    <w:p w14:paraId="1364DE7E" w14:textId="6D05CB2C" w:rsidR="003A106A" w:rsidRPr="003A106A" w:rsidRDefault="003A106A" w:rsidP="003538C8">
      <w:pPr>
        <w:spacing w:before="120"/>
        <w:rPr>
          <w:sz w:val="24"/>
        </w:rPr>
      </w:pPr>
      <w:r w:rsidRPr="003A106A">
        <w:rPr>
          <w:sz w:val="24"/>
        </w:rPr>
        <w:t>El Informe Técnico N.° 00093-2025-Sunarp/DTR del 28 de octubre del 2025, de la Dirección Técnica Registral; el Memorándum N.° 01543-2025-Sunarp/OTI del 29 de octubre del 2025, de la Oficina de Tecnologías de la Información; y, el Informe N.° 01142-2025-Sunarp/OAJ del 29 de octubre del 2025, de la Oficina de Asesoría Jurídica; y,</w:t>
      </w:r>
    </w:p>
    <w:p w14:paraId="7DE1E896" w14:textId="369ACA66" w:rsidR="003A106A" w:rsidRPr="003A106A" w:rsidRDefault="003A106A" w:rsidP="003538C8">
      <w:pPr>
        <w:spacing w:before="120"/>
        <w:rPr>
          <w:sz w:val="24"/>
        </w:rPr>
      </w:pPr>
      <w:r w:rsidRPr="003A106A">
        <w:rPr>
          <w:sz w:val="24"/>
        </w:rPr>
        <w:t>Considerando:</w:t>
      </w:r>
    </w:p>
    <w:p w14:paraId="6FEB0E23" w14:textId="5BA2E3FB" w:rsidR="003A106A" w:rsidRPr="003A106A" w:rsidRDefault="003A106A" w:rsidP="003538C8">
      <w:pPr>
        <w:spacing w:before="120"/>
        <w:rPr>
          <w:sz w:val="24"/>
        </w:rPr>
      </w:pPr>
      <w:r w:rsidRPr="003A106A">
        <w:rPr>
          <w:sz w:val="24"/>
        </w:rPr>
        <w:t>Que, la Superintendencia Nacional de los Registros Públicos - Sunarp es un Organismo Técnico Especializado del Sector Justicia y Derechos Humanos que tiene por objeto dictar las políticas técnico administrativas de los Registros Públicos, estando encargada de planificar, organizar, normar, dirigir, coordinar y supervisar la inscripción y publicidad de los actos y contratos en los Registros Públicos que integran el Sistema Nacional, en el marco de un proceso de si</w:t>
      </w:r>
      <w:r w:rsidR="0080437F" w:rsidRPr="003A106A">
        <w:rPr>
          <w:sz w:val="24"/>
        </w:rPr>
        <w:t>mplificación, integración y modernización de los registros;</w:t>
      </w:r>
    </w:p>
    <w:p w14:paraId="7C67E10D" w14:textId="3A5D3349" w:rsidR="003A106A" w:rsidRPr="003A106A" w:rsidRDefault="003A106A" w:rsidP="003538C8">
      <w:pPr>
        <w:spacing w:before="120"/>
        <w:rPr>
          <w:sz w:val="24"/>
        </w:rPr>
      </w:pPr>
      <w:r w:rsidRPr="003A106A">
        <w:rPr>
          <w:sz w:val="24"/>
        </w:rPr>
        <w:t>Que, mediante Ley N.° 27658, Ley Marco de Modernización de la Gestión del Estado, se declara al Estado peruano en proceso de modernización en sus diferentes instancias, dependencias, entidades, organizaciones y procedimientos, con la finalidad de mejorar la gestión pública y construir un Estado democrático, descentralizado y al servicio del ciudadano;</w:t>
      </w:r>
    </w:p>
    <w:p w14:paraId="61ECAECF" w14:textId="0B826E1D" w:rsidR="003A106A" w:rsidRPr="003A106A" w:rsidRDefault="003A106A" w:rsidP="003538C8">
      <w:pPr>
        <w:spacing w:before="120"/>
        <w:rPr>
          <w:sz w:val="24"/>
        </w:rPr>
      </w:pPr>
      <w:r w:rsidRPr="003A106A">
        <w:rPr>
          <w:sz w:val="24"/>
        </w:rPr>
        <w:t xml:space="preserve">Que, en el </w:t>
      </w:r>
      <w:r w:rsidR="0080437F" w:rsidRPr="003A106A">
        <w:rPr>
          <w:sz w:val="24"/>
        </w:rPr>
        <w:t xml:space="preserve">Artículo </w:t>
      </w:r>
      <w:r w:rsidRPr="003A106A">
        <w:rPr>
          <w:sz w:val="24"/>
        </w:rPr>
        <w:t>II del Título Preliminar de la Ley N.° 29158, Ley Orgánica del Poder Ejecutivo, se establece que en virtud del principio de servicio al ciudadano, las entidades del Poder Ejecutivo están al servicio de las personas y de la sociedad, y actúan en función de sus necesidades así como del interés general de la Nación, asegurando que su actividad se realice, entre otros, con arreglo a la eficiencia; por lo que, su gestión debe realizarse optimizando la utilización de los recursos disponibles, procurando la innovación y la mejora continua;</w:t>
      </w:r>
    </w:p>
    <w:p w14:paraId="7322DB99" w14:textId="301C32BF" w:rsidR="003A106A" w:rsidRPr="003A106A" w:rsidRDefault="003A106A" w:rsidP="003538C8">
      <w:pPr>
        <w:spacing w:before="120"/>
        <w:rPr>
          <w:sz w:val="24"/>
        </w:rPr>
      </w:pPr>
      <w:r w:rsidRPr="003A106A">
        <w:rPr>
          <w:sz w:val="24"/>
        </w:rPr>
        <w:t xml:space="preserve">Que, el Decreto Legislativo N.° 1412, Decreto </w:t>
      </w:r>
      <w:r w:rsidR="0080437F" w:rsidRPr="003A106A">
        <w:rPr>
          <w:sz w:val="24"/>
        </w:rPr>
        <w:t xml:space="preserve">legislativo </w:t>
      </w:r>
      <w:r w:rsidRPr="003A106A">
        <w:rPr>
          <w:sz w:val="24"/>
        </w:rPr>
        <w:t>que aprueba la Ley de Gobierno Digital, establece el marco de gobernanza del gobierno digital para la adecuada gestión de la identidad digital, servicios digitales, arquitectura digital, interoperabilidad, seguridad digital y datos, así como el régimen jurídico aplicable al uso transversal de tecnologías digitales en la digitación de procesos y prestación de servicios digitales por parte de las entidades de la Administración Pública en los tres niveles de gobierno;</w:t>
      </w:r>
    </w:p>
    <w:p w14:paraId="50DAFA91" w14:textId="2AF7AE9C" w:rsidR="003A106A" w:rsidRPr="003A106A" w:rsidRDefault="003A106A" w:rsidP="003538C8">
      <w:pPr>
        <w:spacing w:before="120"/>
        <w:rPr>
          <w:sz w:val="24"/>
        </w:rPr>
      </w:pPr>
      <w:r w:rsidRPr="003A106A">
        <w:rPr>
          <w:sz w:val="24"/>
        </w:rPr>
        <w:t xml:space="preserve">Que, a través del Convenio Marco de Cooperación Interinstitucional, suscrito el 20 de abril de 2023, entre la Sunarp y el Ministerio de Relaciones Exteriores, renovado por la primera adenda del 16 de abril del 2025, se adoptan una serie de acuerdos que permiten implementar la presentación electrónica de títulos </w:t>
      </w:r>
      <w:r w:rsidRPr="003A106A">
        <w:rPr>
          <w:sz w:val="24"/>
        </w:rPr>
        <w:lastRenderedPageBreak/>
        <w:t>que contengan actos o derechos inscribibles en los Registros a cargo de la Sunarp, emitidos por los servidores consulares mediante el empleo de la firma digital, de acuerdo al marco normativo vigente;</w:t>
      </w:r>
    </w:p>
    <w:p w14:paraId="440654B0" w14:textId="1E282996" w:rsidR="003A106A" w:rsidRPr="003A106A" w:rsidRDefault="003A106A" w:rsidP="003538C8">
      <w:pPr>
        <w:spacing w:before="120"/>
        <w:rPr>
          <w:sz w:val="24"/>
        </w:rPr>
      </w:pPr>
      <w:r w:rsidRPr="003A106A">
        <w:rPr>
          <w:sz w:val="24"/>
        </w:rPr>
        <w:t>Que, con el Decreto Supremo N.° 032-2023-RE, se aprueba el Reglamento Consular del Perú, en cuyo artículo 120 se señala</w:t>
      </w:r>
      <w:r w:rsidR="0080437F" w:rsidRPr="003A106A">
        <w:rPr>
          <w:sz w:val="24"/>
        </w:rPr>
        <w:t xml:space="preserve"> que las oficinas consulares efectúan el traslado o presentación de los</w:t>
      </w:r>
      <w:r w:rsidRPr="003A106A">
        <w:rPr>
          <w:sz w:val="24"/>
        </w:rPr>
        <w:t xml:space="preserve"> partes consulares a la Superintendencia Nacional de los Registros Públicos, a través de medios electrónicos, siendo que, aquellos partes consulares que se presenten a través de dichos medios no requieren de legalización por parte del Ministerio de Relaciones Exteriores; asimismo, precisa, que dicho instrumento es título suficiente para su presentación e inscripción en el registro correspondiente, a través del canal digital que la Sunarp habilite para dicho efecto;</w:t>
      </w:r>
    </w:p>
    <w:p w14:paraId="0AF09793" w14:textId="5BD4B3B5" w:rsidR="003A106A" w:rsidRPr="003A106A" w:rsidRDefault="003A106A" w:rsidP="003538C8">
      <w:pPr>
        <w:spacing w:before="120"/>
        <w:rPr>
          <w:sz w:val="24"/>
        </w:rPr>
      </w:pPr>
      <w:r w:rsidRPr="003A106A">
        <w:rPr>
          <w:sz w:val="24"/>
        </w:rPr>
        <w:t>Que, mediante la Resolución N.° 089-2024-Sunarp/SN, publicada en el diario oficial el 26 de junio de 2024, se autoriza la presentación electrónica a través del SID-Sunarp, de partes consulares con firma digital de funcionario consular que contengan actos o derechos inscribibles en todos los registros jurídicos a cargo de la Sunarp; asimismo, se señala que la implementación de nuevos actos inscribibles, adicionales al otorgamiento de poder, requiere coordinación previa entre los equipos técnicos de Sunarp y el Ministerio de Relaciones Exteriores, estableciéndose lineamientos específicos para la presentación electrónica; asimismo, se deja sin efecto la Resolución N.° 220-2023-Sunarp/SN del 20 de diciembre de 2023 y su modificatoria;</w:t>
      </w:r>
    </w:p>
    <w:p w14:paraId="7C9EB7DB" w14:textId="77777777" w:rsidR="003A106A" w:rsidRPr="003A106A" w:rsidRDefault="003A106A" w:rsidP="003538C8">
      <w:pPr>
        <w:spacing w:before="120"/>
        <w:rPr>
          <w:sz w:val="24"/>
        </w:rPr>
      </w:pPr>
      <w:r w:rsidRPr="003A106A">
        <w:rPr>
          <w:sz w:val="24"/>
        </w:rPr>
        <w:t>Que, atendiendo lo expuesto en el considerando precedente, los equipos técnicos de la Sunarp y del Ministerio de Relaciones Exteriores han venido realizando las coordinaciones, desarrollos y pruebas informáticas necesarias para incorporar nuevos actos inscribibles relativos al otorgamiento de poder en el sistema de presentación electrónica de partes consulares, tales como la revocatoria, modificación, ampliación, sustitución y rectificación de poder, a fin de fortalecer la accesibilidad, celeridad y seguridad jurídica para los peruanos que otorguen escrituras públicas ante funcionario consular para su inscripción en el registro;</w:t>
      </w:r>
    </w:p>
    <w:p w14:paraId="57795BFB" w14:textId="1C5D2FC8" w:rsidR="003A106A" w:rsidRPr="003A106A" w:rsidRDefault="003A106A" w:rsidP="003538C8">
      <w:pPr>
        <w:spacing w:before="120"/>
        <w:rPr>
          <w:sz w:val="24"/>
        </w:rPr>
      </w:pPr>
      <w:r w:rsidRPr="003A106A">
        <w:rPr>
          <w:sz w:val="24"/>
        </w:rPr>
        <w:t>Que, cabe resaltar que, desde el mes de enero del 2024 al mes de octubre 2025, se han presentado al registro más de 28</w:t>
      </w:r>
      <w:r w:rsidR="0080437F">
        <w:rPr>
          <w:sz w:val="24"/>
        </w:rPr>
        <w:t xml:space="preserve"> </w:t>
      </w:r>
      <w:r w:rsidRPr="003A106A">
        <w:rPr>
          <w:sz w:val="24"/>
        </w:rPr>
        <w:t>800 títulos electrónicos sobre otorgamiento de poder, lo que evidencia no solo la aceptación de los ciudadanos hacia un entorno digital seguro; sino que, además, tal medida significa una actuación eficiente contra la falsificación documentaria y una medida de simplificación administrativa que optimiza significativamente los plazos de inscripción en beneficio del administrado;</w:t>
      </w:r>
    </w:p>
    <w:p w14:paraId="279B0DCC" w14:textId="0C321DC3" w:rsidR="003A106A" w:rsidRPr="003A106A" w:rsidRDefault="003A106A" w:rsidP="003538C8">
      <w:pPr>
        <w:spacing w:before="120"/>
        <w:rPr>
          <w:sz w:val="24"/>
        </w:rPr>
      </w:pPr>
      <w:r w:rsidRPr="003A106A">
        <w:rPr>
          <w:sz w:val="24"/>
        </w:rPr>
        <w:t>Que, conforme al artículo 2° de la Resolución N.° 089-2024-Sunarp/SN, los equipos técnicos de Sunarp y del Ministerio de Relaciones Exteriores coordinaron y ejecutaron exitosamente las pruebas de integración entre sus sistemas informáticos, validando la funcionalidad operativa y garantizando la eficiencia del flujo en la implementación de la presentación electrónica de los actos registrales mencionados;</w:t>
      </w:r>
    </w:p>
    <w:p w14:paraId="303ACF6F" w14:textId="3697E6E2" w:rsidR="003A106A" w:rsidRPr="003A106A" w:rsidRDefault="003A106A" w:rsidP="003538C8">
      <w:pPr>
        <w:spacing w:before="120"/>
        <w:rPr>
          <w:sz w:val="24"/>
        </w:rPr>
      </w:pPr>
      <w:r w:rsidRPr="003A106A">
        <w:rPr>
          <w:sz w:val="24"/>
        </w:rPr>
        <w:t xml:space="preserve">Que, se ha elevado a esta Superintendencia el proyecto de resolución que amplía el alcance de la presentación electrónica mediante el Sistema de </w:t>
      </w:r>
      <w:r w:rsidRPr="003A106A">
        <w:rPr>
          <w:sz w:val="24"/>
        </w:rPr>
        <w:lastRenderedPageBreak/>
        <w:t>Intermediación Digital SID-Sunarp de partes consulares con firma digital del funcionario consular que contengan los actos de: a) Revocatoria de poder, b) Modificación de poder, c) Ampliación de poder, d) Sustitución de poder, y e) Rectificación de poder, para su inscripción en el Registro de Mandatos y Poderes; de acuerdo a la propuesta sustentada por la Dirección Técnica Registral contenida en el Informe Técnico N.° 00093-2025-Sunarp/DTR, la cual cuenta con la opinión favorable de la Oficina de Asesoría Jurídica y de la Oficina de Tecnologías de la Información contenidas en el Memorándum N.° 01543-2025-Sunarp/OTI y el Informe N.° 01142-2025-Sunarp/OAJ, respectivamente;</w:t>
      </w:r>
    </w:p>
    <w:p w14:paraId="0CA7242A" w14:textId="5DC7148A" w:rsidR="003A106A" w:rsidRPr="003A106A" w:rsidRDefault="003A106A" w:rsidP="003538C8">
      <w:pPr>
        <w:spacing w:before="120"/>
        <w:rPr>
          <w:sz w:val="24"/>
        </w:rPr>
      </w:pPr>
      <w:r w:rsidRPr="003A106A">
        <w:rPr>
          <w:sz w:val="24"/>
        </w:rPr>
        <w:t>De conformidad con lo dispuesto en el numeral 8.3 de la Directiva N.° DI-002-SNR-DTR (V 0.2), Directiva que regula el Sistema de Intermediación Digital de la Sunarp para la generación, presentación, trámite e inscripción del Título Electrónico ante el registro, aprobada mediante la Resolución N.° 186-2023-Sunarp/SN; y, en los literales i) e y) del artículo 11 del Texto Integrado del Reglamento de Organización y Funciones de la Superintendencia Nacional de los Registros Públicos, actualizado con la Resolución N.° 00125-2024-Sunarp/SN; y contando con el visado de la Gerencia General, la Dirección Técnica Registral, la Oficina de Tecnologías de la Información y la Oficina de Asesoría Jurídica;</w:t>
      </w:r>
    </w:p>
    <w:p w14:paraId="73BDA607" w14:textId="7CC52661" w:rsidR="003A106A" w:rsidRPr="003A106A" w:rsidRDefault="003A106A" w:rsidP="003538C8">
      <w:pPr>
        <w:spacing w:before="120"/>
        <w:rPr>
          <w:sz w:val="24"/>
        </w:rPr>
      </w:pPr>
      <w:r w:rsidRPr="003A106A">
        <w:rPr>
          <w:sz w:val="24"/>
        </w:rPr>
        <w:t>Se resuelve:</w:t>
      </w:r>
    </w:p>
    <w:p w14:paraId="6913AEF8" w14:textId="0CDBD689" w:rsidR="003A106A" w:rsidRPr="003A106A" w:rsidRDefault="003A106A" w:rsidP="003538C8">
      <w:pPr>
        <w:spacing w:before="120"/>
        <w:rPr>
          <w:sz w:val="24"/>
        </w:rPr>
      </w:pPr>
      <w:r w:rsidRPr="003A106A">
        <w:rPr>
          <w:sz w:val="24"/>
        </w:rPr>
        <w:t xml:space="preserve">Artículo 1°. - </w:t>
      </w:r>
      <w:r w:rsidRPr="003A106A">
        <w:rPr>
          <w:b/>
          <w:bCs/>
          <w:sz w:val="24"/>
        </w:rPr>
        <w:t xml:space="preserve">Ampliar el alcance de la presentación electrónica de partes consulares que contienen actos inscribibles vinculados al acto de otorgamiento de poder. </w:t>
      </w:r>
      <w:r w:rsidRPr="003A106A">
        <w:rPr>
          <w:sz w:val="24"/>
        </w:rPr>
        <w:t>Ampliar el alcance de la presentación electrónica mediante el Sistema de Intermediación digital SID-Sunarp de partes consulares con firma digital del funcionario consular que contengan los actos de revocación, modificación, ampliación, sustitución y rectificación de poder, para su inscripción en el Registro de Mandatos y Poderes de la Sunarp.</w:t>
      </w:r>
    </w:p>
    <w:p w14:paraId="4806FA53" w14:textId="571AEBE8" w:rsidR="003A106A" w:rsidRPr="003A106A" w:rsidRDefault="003A106A" w:rsidP="003538C8">
      <w:pPr>
        <w:spacing w:before="120"/>
        <w:rPr>
          <w:sz w:val="24"/>
        </w:rPr>
      </w:pPr>
      <w:r w:rsidRPr="003A106A">
        <w:rPr>
          <w:sz w:val="24"/>
        </w:rPr>
        <w:t>La presentación dispuesta en el párrafo precedente es un medio alternativo a la presentación de partes consulares en soporte en papel, por parte de los funcionarios consulares del Ministerio de Relaciones Exteriores - MRE, y bajo las reglas de excepción que dicte tal entidad conforme al Reglamento Consular.</w:t>
      </w:r>
    </w:p>
    <w:p w14:paraId="0C3CBA04" w14:textId="65D8D038" w:rsidR="003A106A" w:rsidRPr="003A106A" w:rsidRDefault="003A106A" w:rsidP="003538C8">
      <w:pPr>
        <w:spacing w:before="120"/>
        <w:rPr>
          <w:sz w:val="24"/>
        </w:rPr>
      </w:pPr>
      <w:r w:rsidRPr="003A106A">
        <w:rPr>
          <w:sz w:val="24"/>
        </w:rPr>
        <w:t xml:space="preserve">Artículo 2°.- </w:t>
      </w:r>
      <w:r w:rsidRPr="003A106A">
        <w:rPr>
          <w:b/>
          <w:bCs/>
          <w:sz w:val="24"/>
        </w:rPr>
        <w:t xml:space="preserve">Lineamientos para la presentación electrónica. </w:t>
      </w:r>
      <w:r w:rsidRPr="003A106A">
        <w:rPr>
          <w:sz w:val="24"/>
        </w:rPr>
        <w:t>Las funcionalidades y actuaciones procedimentales directamente vinculadas a la presentación y tramitación electrónica de títulos que contengan los actos inscribibles señalados en el artículo 1° de la presente resolución, se regulan por lo previsto en la Directiva DI-002-SNR-DTR (V.02), cuya versión actualizada fue aprobada por la Resolución N.° 186-2023-Sunarp/SN, así como, por los lineamientos establecidos en el artículo 3° de la Resolución N.° 089-2024-Sunarp/SN.</w:t>
      </w:r>
    </w:p>
    <w:p w14:paraId="55BE533E" w14:textId="109A5817" w:rsidR="003A106A" w:rsidRPr="003A106A" w:rsidRDefault="003A106A" w:rsidP="003538C8">
      <w:pPr>
        <w:spacing w:before="120"/>
        <w:rPr>
          <w:sz w:val="24"/>
        </w:rPr>
      </w:pPr>
      <w:r w:rsidRPr="003A106A">
        <w:rPr>
          <w:sz w:val="24"/>
        </w:rPr>
        <w:t xml:space="preserve">Artículo 3°.- </w:t>
      </w:r>
      <w:r w:rsidRPr="003A106A">
        <w:rPr>
          <w:b/>
          <w:bCs/>
          <w:sz w:val="24"/>
        </w:rPr>
        <w:t xml:space="preserve">Entrada en vigencia. </w:t>
      </w:r>
      <w:r w:rsidRPr="003A106A">
        <w:rPr>
          <w:sz w:val="24"/>
        </w:rPr>
        <w:t>La presente resolución entra en vigencia a partir del día siguiente de su publicación en el Diario Oficial El Peruano.</w:t>
      </w:r>
    </w:p>
    <w:p w14:paraId="48A78C6F" w14:textId="6C2FAC8F" w:rsidR="003A106A" w:rsidRPr="003A106A" w:rsidRDefault="003A106A" w:rsidP="003538C8">
      <w:pPr>
        <w:spacing w:before="120"/>
        <w:rPr>
          <w:sz w:val="24"/>
        </w:rPr>
      </w:pPr>
      <w:r w:rsidRPr="003A106A">
        <w:rPr>
          <w:sz w:val="24"/>
        </w:rPr>
        <w:t xml:space="preserve">Artículo 4°.- </w:t>
      </w:r>
      <w:r w:rsidRPr="003A106A">
        <w:rPr>
          <w:b/>
          <w:bCs/>
          <w:sz w:val="24"/>
        </w:rPr>
        <w:t xml:space="preserve">Publicación. </w:t>
      </w:r>
      <w:r w:rsidRPr="003A106A">
        <w:rPr>
          <w:sz w:val="24"/>
        </w:rPr>
        <w:t>Disponer la publicación de la presente resolución en la sede digital de la Superintendencia Nacional de los Registros Públicos (www.gob.pe/sunarp), el mismo día de su publicación en el Diario Oficial El Peruano.</w:t>
      </w:r>
    </w:p>
    <w:p w14:paraId="05092CBB" w14:textId="77777777" w:rsidR="003A106A" w:rsidRPr="003A106A" w:rsidRDefault="003A106A" w:rsidP="003538C8">
      <w:pPr>
        <w:spacing w:before="120"/>
        <w:rPr>
          <w:sz w:val="24"/>
        </w:rPr>
      </w:pPr>
      <w:r w:rsidRPr="003A106A">
        <w:rPr>
          <w:sz w:val="24"/>
        </w:rPr>
        <w:lastRenderedPageBreak/>
        <w:t>Regístrese, comuníquese y publíquese.</w:t>
      </w:r>
    </w:p>
    <w:p w14:paraId="10A31F1D" w14:textId="6831EDA6" w:rsidR="003A106A" w:rsidRPr="003A106A" w:rsidRDefault="003A106A" w:rsidP="003538C8">
      <w:pPr>
        <w:spacing w:before="120"/>
        <w:rPr>
          <w:sz w:val="24"/>
        </w:rPr>
      </w:pPr>
      <w:r w:rsidRPr="003A106A">
        <w:rPr>
          <w:sz w:val="24"/>
        </w:rPr>
        <w:t>Armando Miguel Subauste Bracesco</w:t>
      </w:r>
    </w:p>
    <w:p w14:paraId="19FF551B" w14:textId="77777777" w:rsidR="003A106A" w:rsidRPr="003A106A" w:rsidRDefault="003A106A" w:rsidP="003538C8">
      <w:pPr>
        <w:spacing w:before="120"/>
        <w:rPr>
          <w:sz w:val="24"/>
        </w:rPr>
      </w:pPr>
      <w:r w:rsidRPr="003A106A">
        <w:rPr>
          <w:sz w:val="24"/>
        </w:rPr>
        <w:t>Superintendente Nacional</w:t>
      </w:r>
    </w:p>
    <w:p w14:paraId="635F31C7" w14:textId="0909BC4B" w:rsidR="002017D0" w:rsidRDefault="003A106A" w:rsidP="003538C8">
      <w:pPr>
        <w:spacing w:before="120"/>
      </w:pPr>
      <w:r w:rsidRPr="003A106A">
        <w:rPr>
          <w:sz w:val="24"/>
        </w:rPr>
        <w:t>Sunarp</w:t>
      </w:r>
    </w:p>
    <w:p w14:paraId="746B5995" w14:textId="24D299F3" w:rsidR="003A106A" w:rsidRDefault="003A106A" w:rsidP="003538C8">
      <w:pPr>
        <w:spacing w:before="120"/>
        <w:jc w:val="center"/>
      </w:pPr>
      <w:r w:rsidRPr="003A106A">
        <w:t xml:space="preserve">Documento publicado en el Diario Oficial </w:t>
      </w:r>
      <w:r w:rsidR="003538C8">
        <w:t>"</w:t>
      </w:r>
      <w:r w:rsidRPr="003A106A">
        <w:t>El Peruano</w:t>
      </w:r>
      <w:r w:rsidR="003538C8">
        <w:t>"</w:t>
      </w:r>
      <w:r w:rsidRPr="003A106A">
        <w:t xml:space="preserve"> el 30 de octubre del 2025.</w:t>
      </w:r>
    </w:p>
    <w:sectPr w:rsidR="003A106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0C2E60" w14:textId="77777777" w:rsidR="0030048B" w:rsidRDefault="0030048B" w:rsidP="003A106A">
      <w:r>
        <w:separator/>
      </w:r>
    </w:p>
  </w:endnote>
  <w:endnote w:type="continuationSeparator" w:id="0">
    <w:p w14:paraId="18B57F1E" w14:textId="77777777" w:rsidR="0030048B" w:rsidRDefault="0030048B" w:rsidP="003A1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79908" w14:textId="50FF4DD9" w:rsidR="003A106A" w:rsidRPr="003538C8" w:rsidRDefault="003A106A" w:rsidP="003538C8">
    <w:pPr>
      <w:pStyle w:val="Piedepgina"/>
      <w:spacing w:before="120"/>
      <w:jc w:val="center"/>
      <w:rPr>
        <w:rFonts w:ascii="Calibri" w:hAnsi="Calibri"/>
      </w:rPr>
    </w:pPr>
    <w:r w:rsidRPr="00ED2292">
      <w:rPr>
        <w:rFonts w:ascii="Calibri" w:hAnsi="Calibri"/>
      </w:rPr>
      <w:t xml:space="preserve">Un desarrollo especializado de         </w:t>
    </w:r>
    <w:r>
      <w:rPr>
        <w:rFonts w:ascii="Calibri" w:hAnsi="Calibri"/>
        <w:noProof/>
        <w:lang w:eastAsia="es-PE"/>
      </w:rPr>
      <w:drawing>
        <wp:inline distT="0" distB="0" distL="0" distR="0" wp14:anchorId="6F0EDF22" wp14:editId="5EF7528A">
          <wp:extent cx="1276350" cy="3048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1CDC3A" w14:textId="77777777" w:rsidR="0030048B" w:rsidRDefault="0030048B" w:rsidP="003A106A">
      <w:r>
        <w:separator/>
      </w:r>
    </w:p>
  </w:footnote>
  <w:footnote w:type="continuationSeparator" w:id="0">
    <w:p w14:paraId="202E22CD" w14:textId="77777777" w:rsidR="0030048B" w:rsidRDefault="0030048B" w:rsidP="003A10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5E240" w14:textId="7B110289" w:rsidR="003A106A" w:rsidRDefault="003A106A" w:rsidP="003538C8">
    <w:pPr>
      <w:pStyle w:val="Encabezado"/>
      <w:spacing w:after="240"/>
    </w:pPr>
    <w:r>
      <w:rPr>
        <w:noProof/>
        <w:lang w:eastAsia="es-PE"/>
      </w:rPr>
      <w:drawing>
        <wp:inline distT="0" distB="0" distL="0" distR="0" wp14:anchorId="754B0FF8" wp14:editId="5BE1A8AE">
          <wp:extent cx="1504950" cy="533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06A"/>
    <w:rsid w:val="0002405D"/>
    <w:rsid w:val="000526BE"/>
    <w:rsid w:val="00096CEC"/>
    <w:rsid w:val="00133291"/>
    <w:rsid w:val="002017D0"/>
    <w:rsid w:val="0030048B"/>
    <w:rsid w:val="003538C8"/>
    <w:rsid w:val="003A106A"/>
    <w:rsid w:val="00580259"/>
    <w:rsid w:val="00615327"/>
    <w:rsid w:val="007F0EA7"/>
    <w:rsid w:val="0080437F"/>
    <w:rsid w:val="008066EB"/>
    <w:rsid w:val="008F2267"/>
    <w:rsid w:val="00AA3083"/>
    <w:rsid w:val="00BB3261"/>
    <w:rsid w:val="00C32D53"/>
    <w:rsid w:val="00D361DE"/>
    <w:rsid w:val="00DA3097"/>
    <w:rsid w:val="00F22DD5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694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3A10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106A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3A10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106A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38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38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3A10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106A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3A10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106A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38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38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1467</Words>
  <Characters>8072</Characters>
  <Application>Microsoft Office Word</Application>
  <DocSecurity>0</DocSecurity>
  <Lines>67</Lines>
  <Paragraphs>19</Paragraphs>
  <ScaleCrop>false</ScaleCrop>
  <Company/>
  <LinksUpToDate>false</LinksUpToDate>
  <CharactersWithSpaces>9520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 J E A ***</dc:creator>
  <cp:keywords/>
  <dc:description/>
  <cp:lastModifiedBy>Carolina Herrera Pecart</cp:lastModifiedBy>
  <cp:revision>3</cp:revision>
  <dcterms:created xsi:type="dcterms:W3CDTF">2025-10-30T16:27:00Z</dcterms:created>
  <dcterms:modified xsi:type="dcterms:W3CDTF">2025-10-31T00:35:00Z</dcterms:modified>
</cp:coreProperties>
</file>