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8C716" w14:textId="77777777" w:rsidR="008C4A2B" w:rsidRPr="008C4A2B" w:rsidRDefault="008C4A2B" w:rsidP="00965E38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8C4A2B">
        <w:rPr>
          <w:b/>
          <w:bCs/>
          <w:sz w:val="24"/>
        </w:rPr>
        <w:t>Ordenanza que otorga beneficios tributarios a los contribuyentes que inscriban sus predios, actualicen voluntariamente o por un proceso de fiscalización tributaria las modificaciones de sus predios</w:t>
      </w:r>
    </w:p>
    <w:p w14:paraId="209A64D8" w14:textId="49A92474" w:rsidR="008C4A2B" w:rsidRPr="008C4A2B" w:rsidRDefault="008C4A2B" w:rsidP="00965E38">
      <w:pPr>
        <w:spacing w:before="120"/>
        <w:jc w:val="center"/>
        <w:rPr>
          <w:b/>
          <w:bCs/>
          <w:sz w:val="24"/>
        </w:rPr>
      </w:pPr>
      <w:r w:rsidRPr="008C4A2B">
        <w:rPr>
          <w:b/>
          <w:bCs/>
          <w:sz w:val="24"/>
        </w:rPr>
        <w:t>Ordenanza N.° 520-MDC</w:t>
      </w:r>
    </w:p>
    <w:p w14:paraId="19D7DD25" w14:textId="4FE6E916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Carabayllo, 24 de septiembre del 2025</w:t>
      </w:r>
    </w:p>
    <w:p w14:paraId="3104CB7B" w14:textId="2C1E8E95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Vistos: </w:t>
      </w:r>
      <w:r w:rsidR="00C23B64" w:rsidRPr="008C4A2B">
        <w:rPr>
          <w:sz w:val="24"/>
        </w:rPr>
        <w:t>en sesión ordinaria</w:t>
      </w:r>
      <w:r w:rsidRPr="008C4A2B">
        <w:rPr>
          <w:sz w:val="24"/>
        </w:rPr>
        <w:t xml:space="preserve"> de Concejo de la fecha que se indica; el Dictamen N.° 11-2025-CEPYP/MDC de la Comisión de Economía, Planeamiento y Presupuesto de fecha 18 de setiembre del 2025 y sus antecedentes; respecto a la aprobación de la </w:t>
      </w:r>
      <w:r w:rsidR="00C23B64">
        <w:rPr>
          <w:sz w:val="24"/>
        </w:rPr>
        <w:t>"</w:t>
      </w:r>
      <w:r w:rsidRPr="008C4A2B">
        <w:rPr>
          <w:sz w:val="24"/>
        </w:rPr>
        <w:t>Ordenanz</w:t>
      </w:r>
      <w:r w:rsidR="00C23B64" w:rsidRPr="008C4A2B">
        <w:rPr>
          <w:sz w:val="24"/>
        </w:rPr>
        <w:t>a que otorga beneficios tributarios a los contribuyentes que inscriban sus predios, actualicen voluntariamente o por un proceso de fiscalización tributaria las modificaciones de sus predios</w:t>
      </w:r>
      <w:r w:rsidR="00C23B64">
        <w:rPr>
          <w:sz w:val="24"/>
        </w:rPr>
        <w:t>"</w:t>
      </w:r>
      <w:r w:rsidR="00C23B64" w:rsidRPr="008C4A2B">
        <w:rPr>
          <w:sz w:val="24"/>
        </w:rPr>
        <w:t>.</w:t>
      </w:r>
    </w:p>
    <w:p w14:paraId="13E37789" w14:textId="745E9535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Considerando:</w:t>
      </w:r>
    </w:p>
    <w:p w14:paraId="39DB5672" w14:textId="73869436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Que el artículo 194 de la Constitución Política del Perú, modificado por Ley N.° 30305- Ley de Reforma Constitucional, en concordancia con el artículo II del Título Preliminar de la Ley N.° 27972 - Ley Orgánica de Municipalidades, establece que las municipalidades son órganos de Gobierno Local que gozan de autonomía política, económica y administrativa en los asuntos de su competencia y que dicha autonomía radica en la facultad de ejercer actos de gobierno, administrativos y de administración, con sujeción al ordenamiento jurídico vigente.</w:t>
      </w:r>
    </w:p>
    <w:p w14:paraId="688E8191" w14:textId="0E8FC014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Que, el artículo 40 de la Ley N.° 27972 - Ley Orgánica de Municipalidades establece que las ordenanzas de las municipalidades provinciales y distritales, en la materia de su competencia, son las normas de carácter general que aprueba la organización interna, la regulación, administración y supervisión de los servicios públicos y materias en las que la municipalidad tiene competencia normativa.</w:t>
      </w:r>
    </w:p>
    <w:p w14:paraId="260A9824" w14:textId="134E5B8D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Que, el artículo 28 del Texto Único Ordenado del Código de Tributario, aprobado mediante Decreto Supremo N.° 133-2013-EF establece que la Administración Tributaria exige el pago de la deuda tributaria, constituida por el tributo, las multas y los intereses; facultando a los gobiernos locales a condonar, con carácter general, el interés moratorio y las sanciones respecto de los Impuestos que administren, y, en el caso de contribuciones y tasas, también el tributo, conforme lo dispuesto en el artículo 41 del mismo cuerpo normativo.</w:t>
      </w:r>
    </w:p>
    <w:p w14:paraId="3E4EA9E3" w14:textId="0898A4CD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Que, el </w:t>
      </w:r>
      <w:r w:rsidR="00C23B64" w:rsidRPr="008C4A2B">
        <w:rPr>
          <w:sz w:val="24"/>
        </w:rPr>
        <w:t xml:space="preserve">Artículo </w:t>
      </w:r>
      <w:r w:rsidRPr="008C4A2B">
        <w:rPr>
          <w:sz w:val="24"/>
        </w:rPr>
        <w:t xml:space="preserve">IV del Título Preliminar del Código de Tributario, establece: </w:t>
      </w:r>
      <w:r w:rsidR="00C23B64">
        <w:rPr>
          <w:sz w:val="24"/>
        </w:rPr>
        <w:t>"</w:t>
      </w:r>
      <w:r w:rsidRPr="008C4A2B">
        <w:rPr>
          <w:sz w:val="24"/>
        </w:rPr>
        <w:t>L</w:t>
      </w:r>
      <w:r w:rsidR="00C23B64" w:rsidRPr="008C4A2B">
        <w:rPr>
          <w:sz w:val="24"/>
        </w:rPr>
        <w:t xml:space="preserve">os gobiernos locales mediante ordenanza pueden crear, modificar y suprimir </w:t>
      </w:r>
      <w:r w:rsidRPr="008C4A2B">
        <w:rPr>
          <w:sz w:val="24"/>
        </w:rPr>
        <w:t>sus contribuciones</w:t>
      </w:r>
      <w:r w:rsidR="00C23B64" w:rsidRPr="008C4A2B">
        <w:rPr>
          <w:sz w:val="24"/>
        </w:rPr>
        <w:t>, arbitrios derechos y licencias o exonerar de ellos, dentro de su jurisdicción y con los límites que señala la ley</w:t>
      </w:r>
      <w:r w:rsidR="00C23B64">
        <w:rPr>
          <w:sz w:val="24"/>
        </w:rPr>
        <w:t>"</w:t>
      </w:r>
      <w:r w:rsidR="00C23B64" w:rsidRPr="008C4A2B">
        <w:rPr>
          <w:sz w:val="24"/>
        </w:rPr>
        <w:t>.</w:t>
      </w:r>
    </w:p>
    <w:p w14:paraId="07A041BC" w14:textId="47869B18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Que, </w:t>
      </w:r>
      <w:r w:rsidR="00C23B64" w:rsidRPr="008C4A2B">
        <w:rPr>
          <w:sz w:val="24"/>
        </w:rPr>
        <w:t xml:space="preserve">la </w:t>
      </w:r>
      <w:r w:rsidRPr="008C4A2B">
        <w:rPr>
          <w:sz w:val="24"/>
        </w:rPr>
        <w:t xml:space="preserve">Ley de Tributación Municipal Decreto Legislativo N.° 776, faculta a las </w:t>
      </w:r>
      <w:r w:rsidR="00C23B64" w:rsidRPr="008C4A2B">
        <w:rPr>
          <w:sz w:val="24"/>
        </w:rPr>
        <w:t xml:space="preserve">municipalidades </w:t>
      </w:r>
      <w:r w:rsidRPr="008C4A2B">
        <w:rPr>
          <w:sz w:val="24"/>
        </w:rPr>
        <w:t>a crear, modificar y suprimir contribuciones o tasas, y otorgan exoneraciones, vía ordenanza, conforme lo previsto en el artículo 60.</w:t>
      </w:r>
    </w:p>
    <w:p w14:paraId="53F3A05D" w14:textId="4D373B6E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Que, con Informe N.° 674-2025-SGRFT-GATR-MDC, la Subgerencia de Registro y Fiscalización Tributaria remite el proyecto de </w:t>
      </w:r>
      <w:r w:rsidR="00C23B64">
        <w:rPr>
          <w:sz w:val="24"/>
        </w:rPr>
        <w:t>"</w:t>
      </w:r>
      <w:r w:rsidRPr="008C4A2B">
        <w:rPr>
          <w:sz w:val="24"/>
        </w:rPr>
        <w:t xml:space="preserve">Ordenanza que otorga beneficios tributarios a los contribuyentes que inscriban sus predios o </w:t>
      </w:r>
      <w:r w:rsidRPr="008C4A2B">
        <w:rPr>
          <w:sz w:val="24"/>
        </w:rPr>
        <w:lastRenderedPageBreak/>
        <w:t>actualicen voluntariamente las modificaciones de sus predios o hayan pasado por un proceso de fiscalización tributaria</w:t>
      </w:r>
      <w:r w:rsidR="00C23B64">
        <w:rPr>
          <w:sz w:val="24"/>
        </w:rPr>
        <w:t>"</w:t>
      </w:r>
      <w:r w:rsidRPr="008C4A2B">
        <w:rPr>
          <w:sz w:val="24"/>
        </w:rPr>
        <w:t>.</w:t>
      </w:r>
    </w:p>
    <w:p w14:paraId="148337C9" w14:textId="5F8B6C11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Que, con Informe N.° 047-2025-GATR/MDC, la Gerencia de Administración Tributaria señala que la aprobación de la ordenanza contribuirá a reducir los índices de evasión y omisión tributaria, promover una cultura de cumplimiento voluntariamente los vecinos del distrito y al mismo tiempo fortalecer los ingresos municipales para una mejor atención de las demandas ciudadanas.</w:t>
      </w:r>
    </w:p>
    <w:p w14:paraId="5744E0C6" w14:textId="4147D641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Que, con Informe N.° 106-2025-GPPCI/MDC, la Gerencia de Planeamiento, Presupuesto y Cooperación Institucional emite opinión viable toda vez que beneficia al cumplimiento de los objetivos y metas de la unidad orgánica y por ende a los objetivos institucionales de la entidad.</w:t>
      </w:r>
    </w:p>
    <w:p w14:paraId="4B32A12E" w14:textId="193FE8FD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Que, con Informe N.° 316-2025-GAJ/MDC, la Gerencia de Asesoría Jurídica emite opinión legal favorable respecto a la aprobación de la </w:t>
      </w:r>
      <w:r w:rsidR="00C23B64">
        <w:rPr>
          <w:sz w:val="24"/>
        </w:rPr>
        <w:t>"</w:t>
      </w:r>
      <w:r w:rsidRPr="008C4A2B">
        <w:rPr>
          <w:sz w:val="24"/>
        </w:rPr>
        <w:t>Ordenanza de beneficios tributarios</w:t>
      </w:r>
      <w:r w:rsidR="00C23B64">
        <w:rPr>
          <w:sz w:val="24"/>
        </w:rPr>
        <w:t>"</w:t>
      </w:r>
      <w:r w:rsidRPr="008C4A2B">
        <w:rPr>
          <w:sz w:val="24"/>
        </w:rPr>
        <w:t>, cuya vigencia será a partir del día siguiente de su publicación en el Diario Oficial El Peruano hasta el 31 de diciembre del 2025, debiéndose elevarse al Concejo Municipal para que proceda con arreglo a sus atribuciones.</w:t>
      </w:r>
    </w:p>
    <w:p w14:paraId="6D443DAE" w14:textId="666927E3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Que, mediante Dictamen N.° 11-2025-CEPYP/MDC, la Comisión de Economía, Planeamiento y Presupuesto recomienda al Pleno del Concejo Municipal, que en el ejercicio de su co</w:t>
      </w:r>
      <w:r w:rsidR="00C23B64" w:rsidRPr="008C4A2B">
        <w:rPr>
          <w:sz w:val="24"/>
        </w:rPr>
        <w:t xml:space="preserve">mpetencia se apruebe el proyecto de ordenanza </w:t>
      </w:r>
      <w:r w:rsidR="00C23B64">
        <w:rPr>
          <w:sz w:val="24"/>
        </w:rPr>
        <w:t>"</w:t>
      </w:r>
      <w:r w:rsidRPr="008C4A2B">
        <w:rPr>
          <w:sz w:val="24"/>
        </w:rPr>
        <w:t>Beneficios</w:t>
      </w:r>
      <w:r w:rsidR="00C23B64" w:rsidRPr="008C4A2B">
        <w:rPr>
          <w:sz w:val="24"/>
        </w:rPr>
        <w:t xml:space="preserve"> tributarios de inscripción de predios</w:t>
      </w:r>
      <w:r w:rsidR="00C23B64">
        <w:rPr>
          <w:sz w:val="24"/>
        </w:rPr>
        <w:t>"</w:t>
      </w:r>
      <w:r w:rsidR="00C23B64" w:rsidRPr="008C4A2B">
        <w:rPr>
          <w:sz w:val="24"/>
        </w:rPr>
        <w:t xml:space="preserve"> en el di</w:t>
      </w:r>
      <w:r w:rsidRPr="008C4A2B">
        <w:rPr>
          <w:sz w:val="24"/>
        </w:rPr>
        <w:t>strito de Carabayllo.</w:t>
      </w:r>
    </w:p>
    <w:p w14:paraId="733F05F1" w14:textId="4B2E1F28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Estando a lo expuesto y de conformidad con lo dispuesto en el numeral 8) del artículo 9° y artículo 40 de la Ley N.° 27972, Ley Orgánica de Municipalidades, el Concejo Municipal luego del debate correspondiente y con dispensa del trámite de lectura y aprobación del Acta, aprobó por unanimidad lo siguiente:</w:t>
      </w:r>
    </w:p>
    <w:p w14:paraId="136E9B63" w14:textId="6DAE47EE" w:rsidR="008C4A2B" w:rsidRPr="008C4A2B" w:rsidRDefault="008C4A2B" w:rsidP="00965E38">
      <w:pPr>
        <w:spacing w:before="120"/>
        <w:jc w:val="center"/>
        <w:rPr>
          <w:b/>
          <w:bCs/>
          <w:sz w:val="24"/>
        </w:rPr>
      </w:pPr>
      <w:r w:rsidRPr="008C4A2B">
        <w:rPr>
          <w:b/>
          <w:bCs/>
          <w:sz w:val="24"/>
        </w:rPr>
        <w:t>Ordenanza que otorga beneficios tributarios a los contribuyentes que inscriban sus predios, actualicen voluntariamente o por un proceso de fiscalización tributaria las modificaciones de sus predios</w:t>
      </w:r>
    </w:p>
    <w:p w14:paraId="23B0CCB8" w14:textId="23B808A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1°.- </w:t>
      </w:r>
      <w:r w:rsidRPr="008C4A2B">
        <w:rPr>
          <w:b/>
          <w:bCs/>
          <w:sz w:val="24"/>
        </w:rPr>
        <w:t xml:space="preserve">Objeto: </w:t>
      </w:r>
      <w:r w:rsidRPr="008C4A2B">
        <w:rPr>
          <w:sz w:val="24"/>
        </w:rPr>
        <w:t>La presente ordenanza tiene como objetivo actualizar la base tributaria en el distrito de Carabayllo y otorgar beneficios tributarios a quienes presenten voluntariamente la Declaración Jurada de inscripción o rectificación de sus predios y que se haya generado aumento de valor de su ba</w:t>
      </w:r>
      <w:r w:rsidR="00C23B64" w:rsidRPr="008C4A2B">
        <w:rPr>
          <w:sz w:val="24"/>
        </w:rPr>
        <w:t xml:space="preserve">se imponible sin requerimiento previo de fiscalización tributaria, así como </w:t>
      </w:r>
      <w:r w:rsidRPr="008C4A2B">
        <w:rPr>
          <w:sz w:val="24"/>
        </w:rPr>
        <w:t>también a las generadas a consecuencia de un proceso de fiscalización. Asimismo, otorgar beneficios de condonación de intereses, descuentos en multas tributarias y deudas tributarias.</w:t>
      </w:r>
    </w:p>
    <w:p w14:paraId="2665F265" w14:textId="68A5F559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2°.- </w:t>
      </w:r>
      <w:r w:rsidRPr="008C4A2B">
        <w:rPr>
          <w:b/>
          <w:bCs/>
          <w:sz w:val="24"/>
        </w:rPr>
        <w:t xml:space="preserve">Finalidad: </w:t>
      </w:r>
      <w:r w:rsidRPr="008C4A2B">
        <w:rPr>
          <w:sz w:val="24"/>
        </w:rPr>
        <w:t>La pr</w:t>
      </w:r>
      <w:r w:rsidR="00C23B64" w:rsidRPr="008C4A2B">
        <w:rPr>
          <w:sz w:val="24"/>
        </w:rPr>
        <w:t>esente ordenanza, tiene como finalidad sincerar y actualizar la base de datos de</w:t>
      </w:r>
      <w:r w:rsidRPr="008C4A2B">
        <w:rPr>
          <w:sz w:val="24"/>
        </w:rPr>
        <w:t>l Registro de Contribuyentes y Predios del Distrito de Carabayllo, para así ampliar la base tributaria e incentivar la cultura tributaria en los vecinos de este distrito.</w:t>
      </w:r>
    </w:p>
    <w:p w14:paraId="4B4C6CC1" w14:textId="045CFACA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3°.- </w:t>
      </w:r>
      <w:r w:rsidRPr="008C4A2B">
        <w:rPr>
          <w:b/>
          <w:bCs/>
          <w:sz w:val="24"/>
        </w:rPr>
        <w:t xml:space="preserve">Alcance: </w:t>
      </w:r>
      <w:r w:rsidRPr="008C4A2B">
        <w:rPr>
          <w:sz w:val="24"/>
        </w:rPr>
        <w:t xml:space="preserve">El alcance de la presente ordenanza es aplicable para los que deseen inscribir y actualizar de manera voluntaria y formal sus obligaciones tributarias, así como a aquellos que, como resultado del proceso de fiscalización tributaria, mantengan deudas por Impuesto Predial, </w:t>
      </w:r>
      <w:r w:rsidR="00C23B64" w:rsidRPr="008C4A2B">
        <w:rPr>
          <w:sz w:val="24"/>
        </w:rPr>
        <w:t>arbitrios municipales o multas tributarias del presente ejercicio y de años anterio</w:t>
      </w:r>
      <w:r w:rsidRPr="008C4A2B">
        <w:rPr>
          <w:sz w:val="24"/>
        </w:rPr>
        <w:t>res.</w:t>
      </w:r>
    </w:p>
    <w:p w14:paraId="4A9827FA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lastRenderedPageBreak/>
        <w:t>Podrán acogerse a los beneficios previstos en la presente ordenanza, las personas naturales o jurídicas que:</w:t>
      </w:r>
    </w:p>
    <w:p w14:paraId="749FE7C7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1. Se encuentren en condición de omisos y de forma voluntaria presenten su declaración jurada de inscripción de su predio.</w:t>
      </w:r>
    </w:p>
    <w:p w14:paraId="4BB2712A" w14:textId="40CB9EEC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2. No hayan declarado oportunamente sus construcciones, modificaciones, edificaciones, otras instalaciones fijas o permanentes, áreas o algún otro dato necesario para la determinación del Impuesto Predial o variaciones en lo criterios de d</w:t>
      </w:r>
      <w:r w:rsidR="00C23B64" w:rsidRPr="008C4A2B">
        <w:rPr>
          <w:sz w:val="24"/>
        </w:rPr>
        <w:t xml:space="preserve">istribución de los arbitrios municipales tales como el cambio de </w:t>
      </w:r>
      <w:r w:rsidRPr="008C4A2B">
        <w:rPr>
          <w:sz w:val="24"/>
        </w:rPr>
        <w:t>uso, modificación del área construida o área del terreno u otro que tenga consecuencia directa con su determinación.</w:t>
      </w:r>
    </w:p>
    <w:p w14:paraId="43896093" w14:textId="2C6FCE4B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3. Están comprendidos también aquellos deudores tributarios que se encuentren en proceso de fiscalización, respecto al Impuesto Predial o </w:t>
      </w:r>
      <w:r w:rsidR="00C23B64" w:rsidRPr="008C4A2B">
        <w:rPr>
          <w:sz w:val="24"/>
        </w:rPr>
        <w:t xml:space="preserve">arbitrios municipales, siempre que cumplan con los requisitos y alcances de la </w:t>
      </w:r>
      <w:r w:rsidRPr="008C4A2B">
        <w:rPr>
          <w:sz w:val="24"/>
        </w:rPr>
        <w:t>presente ordenanza.</w:t>
      </w:r>
    </w:p>
    <w:p w14:paraId="35DEA4F7" w14:textId="2037AB78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El acogimiento al presente beneficio implica el reconocimiento de las obligaciones tributarias (Impuesto Predial o </w:t>
      </w:r>
      <w:r w:rsidR="00C23B64" w:rsidRPr="008C4A2B">
        <w:rPr>
          <w:sz w:val="24"/>
        </w:rPr>
        <w:t xml:space="preserve">arbitrios municipales) generadas a </w:t>
      </w:r>
      <w:r w:rsidRPr="008C4A2B">
        <w:rPr>
          <w:sz w:val="24"/>
        </w:rPr>
        <w:t>través d</w:t>
      </w:r>
      <w:r w:rsidR="00C23B64" w:rsidRPr="008C4A2B">
        <w:rPr>
          <w:sz w:val="24"/>
        </w:rPr>
        <w:t xml:space="preserve">e la presentación voluntaria de la declaración jurada o del proceso de </w:t>
      </w:r>
      <w:r w:rsidRPr="008C4A2B">
        <w:rPr>
          <w:sz w:val="24"/>
        </w:rPr>
        <w:t>fiscalización tributaria, regulado por la presente ordenanza.</w:t>
      </w:r>
    </w:p>
    <w:p w14:paraId="6894EF5B" w14:textId="22A536FF" w:rsidR="008C4A2B" w:rsidRPr="008C4A2B" w:rsidRDefault="008C4A2B" w:rsidP="00965E38">
      <w:pPr>
        <w:spacing w:before="120"/>
        <w:rPr>
          <w:b/>
          <w:bCs/>
          <w:sz w:val="24"/>
        </w:rPr>
      </w:pPr>
      <w:r w:rsidRPr="008C4A2B">
        <w:rPr>
          <w:sz w:val="24"/>
        </w:rPr>
        <w:t xml:space="preserve">Artículo 4°.- </w:t>
      </w:r>
      <w:r w:rsidRPr="008C4A2B">
        <w:rPr>
          <w:b/>
          <w:bCs/>
          <w:sz w:val="24"/>
        </w:rPr>
        <w:t>Definiciones:</w:t>
      </w:r>
    </w:p>
    <w:p w14:paraId="4A449AEB" w14:textId="611322F9" w:rsidR="008C4A2B" w:rsidRPr="008C4A2B" w:rsidRDefault="008C4A2B" w:rsidP="00965E38">
      <w:pPr>
        <w:spacing w:before="120"/>
        <w:rPr>
          <w:sz w:val="24"/>
        </w:rPr>
      </w:pPr>
      <w:r w:rsidRPr="008C4A2B">
        <w:rPr>
          <w:b/>
          <w:bCs/>
          <w:sz w:val="24"/>
        </w:rPr>
        <w:t xml:space="preserve">1. Declaración </w:t>
      </w:r>
      <w:r w:rsidR="00C23B64" w:rsidRPr="008C4A2B">
        <w:rPr>
          <w:b/>
          <w:bCs/>
          <w:sz w:val="24"/>
        </w:rPr>
        <w:t>jurada</w:t>
      </w:r>
      <w:r w:rsidRPr="008C4A2B">
        <w:rPr>
          <w:b/>
          <w:bCs/>
          <w:sz w:val="24"/>
        </w:rPr>
        <w:t>:</w:t>
      </w:r>
      <w:r w:rsidRPr="008C4A2B">
        <w:rPr>
          <w:sz w:val="24"/>
        </w:rPr>
        <w:t xml:space="preserve"> </w:t>
      </w:r>
      <w:r w:rsidR="00C23B64" w:rsidRPr="008C4A2B">
        <w:rPr>
          <w:sz w:val="24"/>
        </w:rPr>
        <w:t xml:space="preserve">es </w:t>
      </w:r>
      <w:r w:rsidRPr="008C4A2B">
        <w:rPr>
          <w:sz w:val="24"/>
        </w:rPr>
        <w:t xml:space="preserve">la manifestación de hechos comunicados a la </w:t>
      </w:r>
      <w:r w:rsidR="00C23B64" w:rsidRPr="008C4A2B">
        <w:rPr>
          <w:sz w:val="24"/>
        </w:rPr>
        <w:t xml:space="preserve">administración </w:t>
      </w:r>
      <w:r w:rsidRPr="008C4A2B">
        <w:rPr>
          <w:sz w:val="24"/>
        </w:rPr>
        <w:t>tributaria municipal en la forma establecida de acuerdo a ley, que serviría para determinar o modificar la base imponible de la obligación tributaria.</w:t>
      </w:r>
    </w:p>
    <w:p w14:paraId="7821B17C" w14:textId="4F9459A3" w:rsidR="008C4A2B" w:rsidRPr="008C4A2B" w:rsidRDefault="008C4A2B" w:rsidP="00965E38">
      <w:pPr>
        <w:spacing w:before="120"/>
        <w:rPr>
          <w:sz w:val="24"/>
        </w:rPr>
      </w:pPr>
      <w:r w:rsidRPr="008C4A2B">
        <w:rPr>
          <w:b/>
          <w:bCs/>
          <w:sz w:val="24"/>
        </w:rPr>
        <w:t xml:space="preserve">2. Proceso de </w:t>
      </w:r>
      <w:r w:rsidR="00C23B64" w:rsidRPr="008C4A2B">
        <w:rPr>
          <w:b/>
          <w:bCs/>
          <w:sz w:val="24"/>
        </w:rPr>
        <w:t>fiscalización:</w:t>
      </w:r>
      <w:r w:rsidR="00C23B64" w:rsidRPr="008C4A2B">
        <w:rPr>
          <w:sz w:val="24"/>
        </w:rPr>
        <w:t xml:space="preserve"> es el conjunto de actividades desarrolladas por </w:t>
      </w:r>
      <w:r w:rsidRPr="008C4A2B">
        <w:rPr>
          <w:sz w:val="24"/>
        </w:rPr>
        <w:t xml:space="preserve">la </w:t>
      </w:r>
      <w:r w:rsidR="00C23B64" w:rsidRPr="008C4A2B">
        <w:rPr>
          <w:sz w:val="24"/>
        </w:rPr>
        <w:t xml:space="preserve">administración tributaria destinadas a verificar el cumplimiento de correcta </w:t>
      </w:r>
      <w:r w:rsidRPr="008C4A2B">
        <w:rPr>
          <w:sz w:val="24"/>
        </w:rPr>
        <w:t>determinación de la obligación tributaria con la finalidad de ampliar la base tributaria por medio de la identificación de omisos y subvaluadores, y que mediante la presentación de su declaración conlleven a la correcta determinación de su Impuesto Predial.</w:t>
      </w:r>
    </w:p>
    <w:p w14:paraId="6863D0AF" w14:textId="1540B8DE" w:rsidR="008C4A2B" w:rsidRPr="008C4A2B" w:rsidRDefault="008C4A2B" w:rsidP="00965E38">
      <w:pPr>
        <w:spacing w:before="120"/>
        <w:rPr>
          <w:sz w:val="24"/>
        </w:rPr>
      </w:pPr>
      <w:r w:rsidRPr="008C4A2B">
        <w:rPr>
          <w:b/>
          <w:bCs/>
          <w:sz w:val="24"/>
        </w:rPr>
        <w:t>3. Infracción</w:t>
      </w:r>
      <w:r w:rsidR="00C23B64" w:rsidRPr="008C4A2B">
        <w:rPr>
          <w:b/>
          <w:bCs/>
          <w:sz w:val="24"/>
        </w:rPr>
        <w:t xml:space="preserve"> tributaria:</w:t>
      </w:r>
      <w:r w:rsidR="00C23B64" w:rsidRPr="008C4A2B">
        <w:rPr>
          <w:sz w:val="24"/>
        </w:rPr>
        <w:t xml:space="preserve"> toda acción u omisión que importe violación de las</w:t>
      </w:r>
      <w:r w:rsidRPr="008C4A2B">
        <w:rPr>
          <w:sz w:val="24"/>
        </w:rPr>
        <w:t xml:space="preserve"> normas tributarias, constituye infracción sancionable de acuerdo con las normas del Código Tributario.</w:t>
      </w:r>
    </w:p>
    <w:p w14:paraId="20E5D371" w14:textId="0CBDB8A6" w:rsidR="008C4A2B" w:rsidRPr="008C4A2B" w:rsidRDefault="008C4A2B" w:rsidP="00965E38">
      <w:pPr>
        <w:spacing w:before="120"/>
        <w:rPr>
          <w:sz w:val="24"/>
        </w:rPr>
      </w:pPr>
      <w:r w:rsidRPr="008C4A2B">
        <w:rPr>
          <w:b/>
          <w:bCs/>
          <w:sz w:val="24"/>
        </w:rPr>
        <w:t xml:space="preserve">4. Multa </w:t>
      </w:r>
      <w:r w:rsidR="00C23B64" w:rsidRPr="008C4A2B">
        <w:rPr>
          <w:b/>
          <w:bCs/>
          <w:sz w:val="24"/>
        </w:rPr>
        <w:t>tributaria:</w:t>
      </w:r>
      <w:r w:rsidR="00C23B64" w:rsidRPr="008C4A2B">
        <w:rPr>
          <w:sz w:val="24"/>
        </w:rPr>
        <w:t xml:space="preserve"> es una sanción con carácter pecuniario que impone la</w:t>
      </w:r>
      <w:r w:rsidRPr="008C4A2B">
        <w:rPr>
          <w:sz w:val="24"/>
        </w:rPr>
        <w:t xml:space="preserve"> Administración Tributaria por la comisión de una infracción tributaria.</w:t>
      </w:r>
    </w:p>
    <w:p w14:paraId="4D214410" w14:textId="72F26E0C" w:rsidR="008C4A2B" w:rsidRPr="008C4A2B" w:rsidRDefault="008C4A2B" w:rsidP="00965E38">
      <w:pPr>
        <w:spacing w:before="120"/>
        <w:rPr>
          <w:sz w:val="24"/>
        </w:rPr>
      </w:pPr>
      <w:r w:rsidRPr="008C4A2B">
        <w:rPr>
          <w:b/>
          <w:bCs/>
          <w:sz w:val="24"/>
        </w:rPr>
        <w:t>5. Omiso:</w:t>
      </w:r>
      <w:r w:rsidRPr="008C4A2B">
        <w:rPr>
          <w:sz w:val="24"/>
        </w:rPr>
        <w:t xml:space="preserve"> </w:t>
      </w:r>
      <w:r w:rsidR="00C23B64" w:rsidRPr="008C4A2B">
        <w:rPr>
          <w:sz w:val="24"/>
        </w:rPr>
        <w:t xml:space="preserve">persona </w:t>
      </w:r>
      <w:r w:rsidRPr="008C4A2B">
        <w:rPr>
          <w:sz w:val="24"/>
        </w:rPr>
        <w:t>natural o jurídica, propietario o poseedor de uno o más predios dentro de la jurisdicción del distrito de Carabayllo que no hayan cumplido con</w:t>
      </w:r>
      <w:r w:rsidR="00C23B64" w:rsidRPr="008C4A2B">
        <w:rPr>
          <w:sz w:val="24"/>
        </w:rPr>
        <w:t xml:space="preserve"> realizar su declaración a la administración tributaria municipal.</w:t>
      </w:r>
    </w:p>
    <w:p w14:paraId="15B4CC09" w14:textId="50EFF42B" w:rsidR="002017D0" w:rsidRDefault="008C4A2B" w:rsidP="00C23B64">
      <w:pPr>
        <w:spacing w:before="120" w:after="120"/>
        <w:rPr>
          <w:sz w:val="24"/>
        </w:rPr>
      </w:pPr>
      <w:r w:rsidRPr="008C4A2B">
        <w:rPr>
          <w:sz w:val="24"/>
        </w:rPr>
        <w:t xml:space="preserve">Artículo 5°.- </w:t>
      </w:r>
      <w:r w:rsidRPr="008C4A2B">
        <w:rPr>
          <w:b/>
          <w:bCs/>
          <w:sz w:val="24"/>
        </w:rPr>
        <w:t>Beneficios</w:t>
      </w:r>
      <w:r w:rsidR="00C23B64">
        <w:rPr>
          <w:b/>
          <w:bCs/>
          <w:sz w:val="24"/>
        </w:rPr>
        <w:t>.</w:t>
      </w:r>
      <w:r w:rsidRPr="008C4A2B">
        <w:rPr>
          <w:b/>
          <w:bCs/>
          <w:sz w:val="24"/>
        </w:rPr>
        <w:t xml:space="preserve"> </w:t>
      </w:r>
      <w:r w:rsidR="00C23B64" w:rsidRPr="008C4A2B">
        <w:rPr>
          <w:sz w:val="24"/>
        </w:rPr>
        <w:t xml:space="preserve">Los </w:t>
      </w:r>
      <w:r w:rsidRPr="008C4A2B">
        <w:rPr>
          <w:sz w:val="24"/>
        </w:rPr>
        <w:t xml:space="preserve">contribuyentes que efectúen el pago del íntegro del Impuesto Predial y </w:t>
      </w:r>
      <w:r w:rsidR="00C23B64" w:rsidRPr="008C4A2B">
        <w:rPr>
          <w:sz w:val="24"/>
        </w:rPr>
        <w:t xml:space="preserve">arbitrios municipales del año fiscal vigente podrán acogerse a los siguientes </w:t>
      </w:r>
      <w:r w:rsidRPr="008C4A2B">
        <w:rPr>
          <w:sz w:val="24"/>
        </w:rPr>
        <w:t>beneficios: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8"/>
        <w:gridCol w:w="3756"/>
        <w:gridCol w:w="1559"/>
        <w:gridCol w:w="1276"/>
        <w:gridCol w:w="1448"/>
      </w:tblGrid>
      <w:tr w:rsidR="00C23B64" w:rsidRPr="00C23B64" w14:paraId="69D34411" w14:textId="77777777" w:rsidTr="00C23B64">
        <w:tc>
          <w:tcPr>
            <w:tcW w:w="628" w:type="dxa"/>
            <w:vMerge w:val="restart"/>
            <w:vAlign w:val="center"/>
          </w:tcPr>
          <w:p w14:paraId="7EBCA7B8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Í</w:t>
            </w:r>
            <w:r w:rsidRPr="00C23B64">
              <w:rPr>
                <w:b/>
                <w:szCs w:val="20"/>
              </w:rPr>
              <w:t>tem</w:t>
            </w:r>
          </w:p>
        </w:tc>
        <w:tc>
          <w:tcPr>
            <w:tcW w:w="3756" w:type="dxa"/>
            <w:vMerge w:val="restart"/>
            <w:vAlign w:val="center"/>
          </w:tcPr>
          <w:p w14:paraId="267B4C22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Grupo de contribuyentes</w:t>
            </w:r>
          </w:p>
        </w:tc>
        <w:tc>
          <w:tcPr>
            <w:tcW w:w="4283" w:type="dxa"/>
            <w:gridSpan w:val="3"/>
            <w:vAlign w:val="center"/>
          </w:tcPr>
          <w:p w14:paraId="6D4421D8" w14:textId="7CAE1D92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Beneficios</w:t>
            </w:r>
          </w:p>
        </w:tc>
      </w:tr>
      <w:tr w:rsidR="00C23B64" w:rsidRPr="00C23B64" w14:paraId="79C64B63" w14:textId="77777777" w:rsidTr="00C23B64">
        <w:tc>
          <w:tcPr>
            <w:tcW w:w="628" w:type="dxa"/>
            <w:vMerge/>
            <w:vAlign w:val="center"/>
          </w:tcPr>
          <w:p w14:paraId="68E72FE4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</w:p>
        </w:tc>
        <w:tc>
          <w:tcPr>
            <w:tcW w:w="3756" w:type="dxa"/>
            <w:vMerge/>
            <w:vAlign w:val="center"/>
          </w:tcPr>
          <w:p w14:paraId="0825375E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9B617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Predial y Arbitrios</w:t>
            </w:r>
          </w:p>
        </w:tc>
        <w:tc>
          <w:tcPr>
            <w:tcW w:w="1276" w:type="dxa"/>
            <w:vAlign w:val="center"/>
          </w:tcPr>
          <w:p w14:paraId="535B58E3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Multa Tributaria</w:t>
            </w:r>
          </w:p>
        </w:tc>
        <w:tc>
          <w:tcPr>
            <w:tcW w:w="1448" w:type="dxa"/>
            <w:vAlign w:val="center"/>
          </w:tcPr>
          <w:p w14:paraId="726DCFB5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 xml:space="preserve">Arbitrios (años anteriores al </w:t>
            </w:r>
            <w:r w:rsidRPr="00C23B64">
              <w:rPr>
                <w:b/>
                <w:szCs w:val="20"/>
              </w:rPr>
              <w:lastRenderedPageBreak/>
              <w:t>2024)</w:t>
            </w:r>
          </w:p>
        </w:tc>
      </w:tr>
      <w:tr w:rsidR="00C23B64" w:rsidRPr="00C23B64" w14:paraId="005239F2" w14:textId="77777777" w:rsidTr="00C23B64">
        <w:tc>
          <w:tcPr>
            <w:tcW w:w="628" w:type="dxa"/>
            <w:vMerge/>
            <w:vAlign w:val="center"/>
          </w:tcPr>
          <w:p w14:paraId="4746FFBD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</w:p>
        </w:tc>
        <w:tc>
          <w:tcPr>
            <w:tcW w:w="3756" w:type="dxa"/>
            <w:vMerge/>
            <w:vAlign w:val="center"/>
          </w:tcPr>
          <w:p w14:paraId="09CDC95C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B27DC7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Interés Moratorio</w:t>
            </w:r>
          </w:p>
        </w:tc>
        <w:tc>
          <w:tcPr>
            <w:tcW w:w="1276" w:type="dxa"/>
            <w:vAlign w:val="center"/>
          </w:tcPr>
          <w:p w14:paraId="78900D56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Interés Moratorio + Insoluto</w:t>
            </w:r>
          </w:p>
        </w:tc>
        <w:tc>
          <w:tcPr>
            <w:tcW w:w="1448" w:type="dxa"/>
            <w:vAlign w:val="center"/>
          </w:tcPr>
          <w:p w14:paraId="495C9879" w14:textId="77777777" w:rsidR="00C23B64" w:rsidRPr="00C23B64" w:rsidRDefault="00C23B64" w:rsidP="00C23B64">
            <w:pPr>
              <w:jc w:val="center"/>
              <w:rPr>
                <w:b/>
                <w:szCs w:val="20"/>
              </w:rPr>
            </w:pPr>
            <w:r w:rsidRPr="00C23B64">
              <w:rPr>
                <w:b/>
                <w:szCs w:val="20"/>
              </w:rPr>
              <w:t>Insoluto</w:t>
            </w:r>
          </w:p>
        </w:tc>
      </w:tr>
      <w:tr w:rsidR="00C23B64" w:rsidRPr="00C23B64" w14:paraId="59813A8F" w14:textId="77777777" w:rsidTr="00C23B64">
        <w:tc>
          <w:tcPr>
            <w:tcW w:w="628" w:type="dxa"/>
          </w:tcPr>
          <w:p w14:paraId="6D85A02D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1</w:t>
            </w:r>
          </w:p>
        </w:tc>
        <w:tc>
          <w:tcPr>
            <w:tcW w:w="3756" w:type="dxa"/>
          </w:tcPr>
          <w:p w14:paraId="3A5EBF15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Las personas naturales o jurídicas que se encuentren en condición de omisos y de forma voluntaria presenten su Declaración Jurada para la inscripción de su predio en la Municipalidad.</w:t>
            </w:r>
          </w:p>
        </w:tc>
        <w:tc>
          <w:tcPr>
            <w:tcW w:w="1559" w:type="dxa"/>
          </w:tcPr>
          <w:p w14:paraId="5FD55D85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276" w:type="dxa"/>
          </w:tcPr>
          <w:p w14:paraId="1771AFCE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448" w:type="dxa"/>
          </w:tcPr>
          <w:p w14:paraId="7F72284E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50%</w:t>
            </w:r>
          </w:p>
        </w:tc>
      </w:tr>
      <w:tr w:rsidR="00C23B64" w:rsidRPr="00C23B64" w14:paraId="3A43F1E5" w14:textId="77777777" w:rsidTr="00C23B64">
        <w:tc>
          <w:tcPr>
            <w:tcW w:w="628" w:type="dxa"/>
          </w:tcPr>
          <w:p w14:paraId="4DB07450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2</w:t>
            </w:r>
          </w:p>
        </w:tc>
        <w:tc>
          <w:tcPr>
            <w:tcW w:w="3756" w:type="dxa"/>
          </w:tcPr>
          <w:p w14:paraId="056AFE47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Los contribuyentes que voluntariamente actualicen su declaración jurada sin previo requerimiento de Fiscalización Tributaria y se genere aumento de valor de su base imponible.</w:t>
            </w:r>
          </w:p>
        </w:tc>
        <w:tc>
          <w:tcPr>
            <w:tcW w:w="1559" w:type="dxa"/>
          </w:tcPr>
          <w:p w14:paraId="74A99BC4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276" w:type="dxa"/>
          </w:tcPr>
          <w:p w14:paraId="29C9B454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448" w:type="dxa"/>
          </w:tcPr>
          <w:p w14:paraId="3A17B33D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50%</w:t>
            </w:r>
          </w:p>
        </w:tc>
      </w:tr>
      <w:tr w:rsidR="00C23B64" w:rsidRPr="00C23B64" w14:paraId="1FDC1DDC" w14:textId="77777777" w:rsidTr="00C23B64">
        <w:tc>
          <w:tcPr>
            <w:tcW w:w="628" w:type="dxa"/>
          </w:tcPr>
          <w:p w14:paraId="5BA3A3A6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3</w:t>
            </w:r>
          </w:p>
        </w:tc>
        <w:tc>
          <w:tcPr>
            <w:tcW w:w="3756" w:type="dxa"/>
          </w:tcPr>
          <w:p w14:paraId="2FC9FFC2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Los contribuyentes que se encuentren en proceso de fiscalización tributaria y que voluntariamente presenten su Declaración Jurada, la cual genere aumento de valor de su base imponible; y antes de emitirse la Resolución de Determinación con la Resolución de Multa Tributaria.</w:t>
            </w:r>
          </w:p>
        </w:tc>
        <w:tc>
          <w:tcPr>
            <w:tcW w:w="1559" w:type="dxa"/>
          </w:tcPr>
          <w:p w14:paraId="736570E4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276" w:type="dxa"/>
          </w:tcPr>
          <w:p w14:paraId="15A8DC9B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80%</w:t>
            </w:r>
          </w:p>
        </w:tc>
        <w:tc>
          <w:tcPr>
            <w:tcW w:w="1448" w:type="dxa"/>
          </w:tcPr>
          <w:p w14:paraId="0A23F0DE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40%</w:t>
            </w:r>
          </w:p>
        </w:tc>
      </w:tr>
      <w:tr w:rsidR="00C23B64" w:rsidRPr="00C23B64" w14:paraId="11B8881B" w14:textId="77777777" w:rsidTr="00C23B64">
        <w:tc>
          <w:tcPr>
            <w:tcW w:w="628" w:type="dxa"/>
          </w:tcPr>
          <w:p w14:paraId="5A725703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4</w:t>
            </w:r>
          </w:p>
        </w:tc>
        <w:tc>
          <w:tcPr>
            <w:tcW w:w="3756" w:type="dxa"/>
          </w:tcPr>
          <w:p w14:paraId="6F8102FA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Los contribuyentes que efectúen sus pagos después de notificada la Resolución de Determinación y Resolución de Multa Tributaria y antes de iniciar la cobranza coactiva.</w:t>
            </w:r>
          </w:p>
        </w:tc>
        <w:tc>
          <w:tcPr>
            <w:tcW w:w="1559" w:type="dxa"/>
          </w:tcPr>
          <w:p w14:paraId="435C1872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276" w:type="dxa"/>
          </w:tcPr>
          <w:p w14:paraId="3F22AF59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80%</w:t>
            </w:r>
          </w:p>
        </w:tc>
        <w:tc>
          <w:tcPr>
            <w:tcW w:w="1448" w:type="dxa"/>
          </w:tcPr>
          <w:p w14:paraId="30ADAC52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30%</w:t>
            </w:r>
          </w:p>
        </w:tc>
      </w:tr>
      <w:tr w:rsidR="00C23B64" w:rsidRPr="00C23B64" w14:paraId="2F0B0EAC" w14:textId="77777777" w:rsidTr="00C23B64">
        <w:tc>
          <w:tcPr>
            <w:tcW w:w="628" w:type="dxa"/>
          </w:tcPr>
          <w:p w14:paraId="6F4A1DC4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5</w:t>
            </w:r>
          </w:p>
        </w:tc>
        <w:tc>
          <w:tcPr>
            <w:tcW w:w="3756" w:type="dxa"/>
          </w:tcPr>
          <w:p w14:paraId="0964DD9F" w14:textId="77777777" w:rsidR="00C23B64" w:rsidRPr="00C23B64" w:rsidRDefault="00C23B64" w:rsidP="003F64E0">
            <w:pPr>
              <w:rPr>
                <w:szCs w:val="20"/>
              </w:rPr>
            </w:pPr>
            <w:r w:rsidRPr="00C23B64">
              <w:rPr>
                <w:szCs w:val="20"/>
              </w:rPr>
              <w:t>Los contribuyentes que no subvalúen y que actualicen sus datos personales, tales como nombres y apellidos, DNI, correo electrónico, teléfono, celular o domicilio fiscal, y que mantengan deudas, respecto a sus obligaciones tributarias.</w:t>
            </w:r>
          </w:p>
        </w:tc>
        <w:tc>
          <w:tcPr>
            <w:tcW w:w="1559" w:type="dxa"/>
          </w:tcPr>
          <w:p w14:paraId="7D96C226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100%</w:t>
            </w:r>
          </w:p>
        </w:tc>
        <w:tc>
          <w:tcPr>
            <w:tcW w:w="1276" w:type="dxa"/>
          </w:tcPr>
          <w:p w14:paraId="1BA31E26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80%</w:t>
            </w:r>
          </w:p>
        </w:tc>
        <w:tc>
          <w:tcPr>
            <w:tcW w:w="1448" w:type="dxa"/>
          </w:tcPr>
          <w:p w14:paraId="5BC85253" w14:textId="77777777" w:rsidR="00C23B64" w:rsidRPr="00C23B64" w:rsidRDefault="00C23B64" w:rsidP="00C23B64">
            <w:pPr>
              <w:jc w:val="center"/>
              <w:rPr>
                <w:szCs w:val="20"/>
              </w:rPr>
            </w:pPr>
            <w:r w:rsidRPr="00C23B64">
              <w:rPr>
                <w:szCs w:val="20"/>
              </w:rPr>
              <w:t>20%</w:t>
            </w:r>
          </w:p>
        </w:tc>
      </w:tr>
    </w:tbl>
    <w:p w14:paraId="11355057" w14:textId="397732D3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6°.- </w:t>
      </w:r>
      <w:r w:rsidRPr="008C4A2B">
        <w:rPr>
          <w:b/>
          <w:bCs/>
          <w:sz w:val="24"/>
        </w:rPr>
        <w:t xml:space="preserve">De los </w:t>
      </w:r>
      <w:r w:rsidR="00C23B64" w:rsidRPr="008C4A2B">
        <w:rPr>
          <w:b/>
          <w:bCs/>
          <w:sz w:val="24"/>
        </w:rPr>
        <w:t>requisitos</w:t>
      </w:r>
      <w:r w:rsidR="00C23B64">
        <w:rPr>
          <w:b/>
          <w:bCs/>
          <w:sz w:val="24"/>
        </w:rPr>
        <w:t xml:space="preserve">. </w:t>
      </w:r>
      <w:r w:rsidRPr="008C4A2B">
        <w:rPr>
          <w:sz w:val="24"/>
        </w:rPr>
        <w:t xml:space="preserve">Son requisitos para acogerse a los beneficios dispuestos en la presente </w:t>
      </w:r>
      <w:r w:rsidR="00C23B64" w:rsidRPr="008C4A2B">
        <w:rPr>
          <w:sz w:val="24"/>
        </w:rPr>
        <w:t>ordenanza</w:t>
      </w:r>
      <w:r w:rsidRPr="008C4A2B">
        <w:rPr>
          <w:sz w:val="24"/>
        </w:rPr>
        <w:t>:</w:t>
      </w:r>
    </w:p>
    <w:p w14:paraId="53C5576A" w14:textId="2D6219E1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1. El administrado o contribuyente deberá apersonarse a la Subgerencia de Registro y Fiscalización Tributaria a realizar su declaración jurada por actualización, omisión o subvaluación de manera voluntaria o promovida por la Municipalidad Distrital de Carabayllo, respecto a sus obligaciones tributarias (Impuesto Predial y </w:t>
      </w:r>
      <w:r w:rsidR="00C23B64" w:rsidRPr="008C4A2B">
        <w:rPr>
          <w:sz w:val="24"/>
        </w:rPr>
        <w:t xml:space="preserve">arbitrios municipales); y en caso de representación del </w:t>
      </w:r>
      <w:r w:rsidRPr="008C4A2B">
        <w:rPr>
          <w:sz w:val="24"/>
        </w:rPr>
        <w:t>titular se deberá presentar una carta poder debidamente legalizada por notario público, en la cual se indique el trámite a realizar. Así mismo, cabe señalar que n</w:t>
      </w:r>
      <w:r w:rsidR="00C23B64" w:rsidRPr="008C4A2B">
        <w:rPr>
          <w:sz w:val="24"/>
        </w:rPr>
        <w:t xml:space="preserve">o se otorgará los beneficios de la presente ordenanza a los administrados y </w:t>
      </w:r>
      <w:r w:rsidRPr="008C4A2B">
        <w:rPr>
          <w:sz w:val="24"/>
        </w:rPr>
        <w:t>contribuyentes que presenten sus declaraciones juradas antes mencionadas por Mesa de Partes de esta entidad edil.</w:t>
      </w:r>
    </w:p>
    <w:p w14:paraId="180669DC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2. Permitir el ingreso del inspector o técnico fiscalizador tributario al predio materia de inspección, a fin de registrar la información predial, para estos efectos la Administración deberá contar con un acta de fiscalización tributaria en base cierta que corrobore el ingreso al predio.</w:t>
      </w:r>
    </w:p>
    <w:p w14:paraId="358DDD98" w14:textId="3DDF74B2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lastRenderedPageBreak/>
        <w:t xml:space="preserve">3. Realizar el pago íntegro del Impuesto Predial y </w:t>
      </w:r>
      <w:r w:rsidR="00C23B64" w:rsidRPr="008C4A2B">
        <w:rPr>
          <w:sz w:val="24"/>
        </w:rPr>
        <w:t xml:space="preserve">arbitrios municipales del año </w:t>
      </w:r>
      <w:r w:rsidRPr="008C4A2B">
        <w:rPr>
          <w:sz w:val="24"/>
        </w:rPr>
        <w:t>fiscal vigente, después de haberse realizado la inscripción o modificación que genere aumento de valor de su base imponible.</w:t>
      </w:r>
    </w:p>
    <w:p w14:paraId="443001C8" w14:textId="6F26E94A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7°.- </w:t>
      </w:r>
      <w:r w:rsidRPr="008C4A2B">
        <w:rPr>
          <w:b/>
          <w:bCs/>
          <w:sz w:val="24"/>
        </w:rPr>
        <w:t xml:space="preserve">Del reconocimiento de la deuda y pagos efectuados: </w:t>
      </w:r>
      <w:r w:rsidRPr="008C4A2B">
        <w:rPr>
          <w:sz w:val="24"/>
        </w:rPr>
        <w:t xml:space="preserve">El acogimiento y la cancelación de la deuda con los beneficios establecidos en la presente </w:t>
      </w:r>
      <w:r w:rsidR="00C23B64" w:rsidRPr="008C4A2B">
        <w:rPr>
          <w:sz w:val="24"/>
        </w:rPr>
        <w:t xml:space="preserve">ordenanza </w:t>
      </w:r>
      <w:r w:rsidRPr="008C4A2B">
        <w:rPr>
          <w:sz w:val="24"/>
        </w:rPr>
        <w:t xml:space="preserve">o el pago íntegro del Impuesto Predial y </w:t>
      </w:r>
      <w:r w:rsidR="00C23B64" w:rsidRPr="008C4A2B">
        <w:rPr>
          <w:sz w:val="24"/>
        </w:rPr>
        <w:t>arbitrios municipales del año fiscal vigente, implicará automáticame</w:t>
      </w:r>
      <w:r w:rsidRPr="008C4A2B">
        <w:rPr>
          <w:sz w:val="24"/>
        </w:rPr>
        <w:t>nte el reconocimiento expreso y voluntario de las deudas, la comisión de infracciones, la aceptación de las determinaciones y sanciones que originaron la deuda objeto d</w:t>
      </w:r>
      <w:r w:rsidR="00C23B64" w:rsidRPr="008C4A2B">
        <w:rPr>
          <w:sz w:val="24"/>
        </w:rPr>
        <w:t xml:space="preserve">e pago, por lo que la administración declarará que ha operado la </w:t>
      </w:r>
      <w:r w:rsidRPr="008C4A2B">
        <w:rPr>
          <w:sz w:val="24"/>
        </w:rPr>
        <w:t>sustracción de la materia, respecto de los recursos impugnatorios, tanto contenciosos, como no contenciosos, presentados sobre la deuda involucrada, a partir del momento de efectuado el pago con el descuento respectivo. Asimismo, entendiéndose el reconocimiento voluntario no podrán presentar futuras reclamaciones, recursos, devoluciones o compensaciones respecto a las deudas materia de beneficio.</w:t>
      </w:r>
    </w:p>
    <w:p w14:paraId="0F927DF0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De igual forma, los montos pagados con anterioridad a la fecha de entrada de la presente Ordenanza, no generan derecho a la devolución o compensación alguna. Asimismo, los beneficios otorgados no serán aplicables a las solicitudes de compensación o transferencias de pago.</w:t>
      </w:r>
    </w:p>
    <w:p w14:paraId="1B90D501" w14:textId="1704B8F5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8°.- </w:t>
      </w:r>
      <w:r w:rsidRPr="008C4A2B">
        <w:rPr>
          <w:b/>
          <w:bCs/>
          <w:sz w:val="24"/>
        </w:rPr>
        <w:t>Deudas en procedimiento de ejecución coactiva</w:t>
      </w:r>
      <w:r w:rsidR="00C23B64">
        <w:rPr>
          <w:b/>
          <w:bCs/>
          <w:sz w:val="24"/>
        </w:rPr>
        <w:t>.</w:t>
      </w:r>
      <w:r w:rsidRPr="008C4A2B">
        <w:rPr>
          <w:b/>
          <w:bCs/>
          <w:sz w:val="24"/>
        </w:rPr>
        <w:t xml:space="preserve"> </w:t>
      </w:r>
      <w:r w:rsidRPr="008C4A2B">
        <w:rPr>
          <w:sz w:val="24"/>
        </w:rPr>
        <w:t xml:space="preserve">Cabe indicar que los procedimientos de cobranza coactiva respecto, continuaran mientras la deuda materia de dicha cobranza no sea cancelada durante la vigencia de la presente </w:t>
      </w:r>
      <w:r w:rsidR="00C23B64" w:rsidRPr="008C4A2B">
        <w:rPr>
          <w:sz w:val="24"/>
        </w:rPr>
        <w:t>ordenanza</w:t>
      </w:r>
      <w:r w:rsidRPr="008C4A2B">
        <w:rPr>
          <w:sz w:val="24"/>
        </w:rPr>
        <w:t xml:space="preserve">, según lo dispuesto en los artículos precedentes. Asimismo, los montos que se retengan como producto de la ejecución de embargos se imputaran a la deuda respectiva, sin los incentivos establecidos en la presente </w:t>
      </w:r>
      <w:r w:rsidR="00C23B64" w:rsidRPr="008C4A2B">
        <w:rPr>
          <w:sz w:val="24"/>
        </w:rPr>
        <w:t>ordenanza</w:t>
      </w:r>
      <w:r w:rsidRPr="008C4A2B">
        <w:rPr>
          <w:sz w:val="24"/>
        </w:rPr>
        <w:t>.</w:t>
      </w:r>
    </w:p>
    <w:p w14:paraId="099ADAAB" w14:textId="6BD84922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9°.- </w:t>
      </w:r>
      <w:r w:rsidRPr="008C4A2B">
        <w:rPr>
          <w:b/>
          <w:bCs/>
          <w:sz w:val="24"/>
        </w:rPr>
        <w:t xml:space="preserve">Pérdida de </w:t>
      </w:r>
      <w:r w:rsidR="00C23B64" w:rsidRPr="008C4A2B">
        <w:rPr>
          <w:b/>
          <w:bCs/>
          <w:sz w:val="24"/>
        </w:rPr>
        <w:t>beneficios</w:t>
      </w:r>
      <w:r w:rsidR="00C23B64">
        <w:rPr>
          <w:b/>
          <w:bCs/>
          <w:sz w:val="24"/>
        </w:rPr>
        <w:t>.</w:t>
      </w:r>
      <w:r w:rsidRPr="008C4A2B">
        <w:rPr>
          <w:b/>
          <w:bCs/>
          <w:sz w:val="24"/>
        </w:rPr>
        <w:t xml:space="preserve"> </w:t>
      </w:r>
      <w:r w:rsidRPr="008C4A2B">
        <w:rPr>
          <w:sz w:val="24"/>
        </w:rPr>
        <w:t>Son causales de pérdida de los beneficios tributarios:</w:t>
      </w:r>
    </w:p>
    <w:p w14:paraId="2ED74E80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1. No presentar voluntariamente la declaración jurada de inscripción o modificación, conforme a los parámetros establecidos en el artículo quinto de esta ordenanza, lo cual otorga a la Administración Tributaria la autorización para llevar a cabo la determinación correspondiente, en cumplimiento de sus facultades de fiscalización, conforme lo estipula el artículo 62 y siguientes del Texto Único Ordenado (TUO) del Código Tributario.</w:t>
      </w:r>
    </w:p>
    <w:p w14:paraId="24472483" w14:textId="2C296C30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2. No pagar la liquidación por Impuesto Predial y </w:t>
      </w:r>
      <w:r w:rsidR="00C23B64" w:rsidRPr="008C4A2B">
        <w:rPr>
          <w:sz w:val="24"/>
        </w:rPr>
        <w:t xml:space="preserve">arbitrios municipales, que resulta de la presentación de la declaración </w:t>
      </w:r>
      <w:r w:rsidRPr="008C4A2B">
        <w:rPr>
          <w:sz w:val="24"/>
        </w:rPr>
        <w:t>jurada de inscripción o modificación, conforme los parámetros establecidos en el artículo 4° de la presente ordenanza o no pagar el Impuesto Predial del año corriente en su totalidad y no proceder a realizar el compromiso de pago.</w:t>
      </w:r>
    </w:p>
    <w:p w14:paraId="23BB363B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3. Interponer recursos administrativos y/o procesos judiciales contra la deuda liquidada producto de la presentación de la declaración jurada de inscripción o de modificación que haya generado aumento de valor de la base imponible.</w:t>
      </w:r>
    </w:p>
    <w:p w14:paraId="7953E076" w14:textId="416EB5A6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10.- </w:t>
      </w:r>
      <w:r w:rsidRPr="008C4A2B">
        <w:rPr>
          <w:b/>
          <w:bCs/>
          <w:sz w:val="24"/>
        </w:rPr>
        <w:t>Del desistimiento</w:t>
      </w:r>
      <w:r w:rsidR="00C23B64">
        <w:rPr>
          <w:b/>
          <w:bCs/>
          <w:sz w:val="24"/>
        </w:rPr>
        <w:t>.</w:t>
      </w:r>
      <w:r w:rsidRPr="008C4A2B">
        <w:rPr>
          <w:b/>
          <w:bCs/>
          <w:sz w:val="24"/>
        </w:rPr>
        <w:t xml:space="preserve"> </w:t>
      </w:r>
      <w:r w:rsidRPr="008C4A2B">
        <w:rPr>
          <w:sz w:val="24"/>
        </w:rPr>
        <w:t xml:space="preserve">En los casos en que los contribuyentes hayan interpuesto ante la Municipalidad Distrital de Carabayllo o instancias superiores </w:t>
      </w:r>
      <w:r w:rsidRPr="008C4A2B">
        <w:rPr>
          <w:sz w:val="24"/>
        </w:rPr>
        <w:lastRenderedPageBreak/>
        <w:t xml:space="preserve">y jurisdiccionales algún recurso impugnatorio o proceso judicial, previamente, para otorgarle los beneficios de condonación establecidos en la presente </w:t>
      </w:r>
      <w:r w:rsidR="00C23B64" w:rsidRPr="008C4A2B">
        <w:rPr>
          <w:sz w:val="24"/>
        </w:rPr>
        <w:t>ordenanza</w:t>
      </w:r>
      <w:r w:rsidRPr="008C4A2B">
        <w:rPr>
          <w:sz w:val="24"/>
        </w:rPr>
        <w:t>, deberán presentar de forma obligatoria una copia del cargo de desistimiento de la pretensión y del proceso del recurso impugnatorio y/o proceso judicial.</w:t>
      </w:r>
    </w:p>
    <w:p w14:paraId="55021DC6" w14:textId="4C10B115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Artículo 11.- </w:t>
      </w:r>
      <w:r w:rsidRPr="008C4A2B">
        <w:rPr>
          <w:b/>
          <w:bCs/>
          <w:sz w:val="24"/>
        </w:rPr>
        <w:t>De la vigencia</w:t>
      </w:r>
      <w:r w:rsidR="00C23B64">
        <w:rPr>
          <w:b/>
          <w:bCs/>
          <w:sz w:val="24"/>
        </w:rPr>
        <w:t>.</w:t>
      </w:r>
      <w:r w:rsidRPr="008C4A2B">
        <w:rPr>
          <w:b/>
          <w:bCs/>
          <w:sz w:val="24"/>
        </w:rPr>
        <w:t xml:space="preserve"> </w:t>
      </w:r>
      <w:r w:rsidRPr="008C4A2B">
        <w:rPr>
          <w:sz w:val="24"/>
        </w:rPr>
        <w:t xml:space="preserve">La presente ordenanza tendrá vigencia a partir del día siguiente de su publicación en el Diario Oficial </w:t>
      </w:r>
      <w:r w:rsidR="00C23B64">
        <w:rPr>
          <w:sz w:val="24"/>
        </w:rPr>
        <w:t>"</w:t>
      </w:r>
      <w:r w:rsidRPr="008C4A2B">
        <w:rPr>
          <w:sz w:val="24"/>
        </w:rPr>
        <w:t>El Peruano</w:t>
      </w:r>
      <w:r w:rsidR="00C23B64">
        <w:rPr>
          <w:sz w:val="24"/>
        </w:rPr>
        <w:t>"</w:t>
      </w:r>
      <w:r w:rsidRPr="008C4A2B">
        <w:rPr>
          <w:sz w:val="24"/>
        </w:rPr>
        <w:t xml:space="preserve"> hasta el 31 de diciembre del 2025.</w:t>
      </w:r>
    </w:p>
    <w:p w14:paraId="2C0F2771" w14:textId="08FE7186" w:rsidR="008C4A2B" w:rsidRPr="008C4A2B" w:rsidRDefault="008C4A2B" w:rsidP="00965E38">
      <w:pPr>
        <w:spacing w:before="120"/>
        <w:jc w:val="center"/>
        <w:rPr>
          <w:b/>
          <w:bCs/>
          <w:sz w:val="24"/>
        </w:rPr>
      </w:pPr>
      <w:r w:rsidRPr="008C4A2B">
        <w:rPr>
          <w:b/>
          <w:bCs/>
          <w:sz w:val="24"/>
        </w:rPr>
        <w:t>Disposiciones Transitorias y Finales</w:t>
      </w:r>
    </w:p>
    <w:p w14:paraId="3C01BB01" w14:textId="027A8190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Primera.- Disponer que la prese</w:t>
      </w:r>
      <w:r w:rsidR="00C23B64" w:rsidRPr="008C4A2B">
        <w:rPr>
          <w:sz w:val="24"/>
        </w:rPr>
        <w:t>nte ordenanza entrará en vigencia a partir del día siguiente de su publicación e</w:t>
      </w:r>
      <w:r w:rsidRPr="008C4A2B">
        <w:rPr>
          <w:sz w:val="24"/>
        </w:rPr>
        <w:t xml:space="preserve">n el Diario Oficial </w:t>
      </w:r>
      <w:r w:rsidR="00C23B64">
        <w:rPr>
          <w:sz w:val="24"/>
        </w:rPr>
        <w:t>"</w:t>
      </w:r>
      <w:r w:rsidRPr="008C4A2B">
        <w:rPr>
          <w:sz w:val="24"/>
        </w:rPr>
        <w:t>El Peruano</w:t>
      </w:r>
      <w:r w:rsidR="00C23B64">
        <w:rPr>
          <w:sz w:val="24"/>
        </w:rPr>
        <w:t>"</w:t>
      </w:r>
      <w:r w:rsidRPr="008C4A2B">
        <w:rPr>
          <w:sz w:val="24"/>
        </w:rPr>
        <w:t>, hasta el 31 de diciembre del 2025.</w:t>
      </w:r>
    </w:p>
    <w:p w14:paraId="454F9A0A" w14:textId="082F7144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Segunda.- Facul</w:t>
      </w:r>
      <w:r w:rsidR="00C23B64" w:rsidRPr="008C4A2B">
        <w:rPr>
          <w:sz w:val="24"/>
        </w:rPr>
        <w:t xml:space="preserve">tar al señor alcalde para que mediante decreto de alcaldía </w:t>
      </w:r>
      <w:r w:rsidRPr="008C4A2B">
        <w:rPr>
          <w:sz w:val="24"/>
        </w:rPr>
        <w:t>dicte las disposiciones complementarias para la adecuada aplicación de la presente ordenanza, así como para que disponga su prórroga de ser necesario.</w:t>
      </w:r>
    </w:p>
    <w:p w14:paraId="24F42732" w14:textId="55D9AF6E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Tercera.- Encargar a la Gerencia de Administración Tributaria y Rentas, Subgerencia de Registro y Fiscalización Tributaria, Subgerencia de Imagen Institucional y demás unidades orgánicas el cumplimiento de la presente ordenanza, según sus competencias y atribuciones.</w:t>
      </w:r>
    </w:p>
    <w:p w14:paraId="4EA36CB9" w14:textId="2870FF01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Cuarta.- Encargar a la Secretaría General la publicación de la presente </w:t>
      </w:r>
      <w:r w:rsidR="00C23B64" w:rsidRPr="008C4A2B">
        <w:rPr>
          <w:sz w:val="24"/>
        </w:rPr>
        <w:t xml:space="preserve">ordenanza </w:t>
      </w:r>
      <w:r w:rsidRPr="008C4A2B">
        <w:rPr>
          <w:sz w:val="24"/>
        </w:rPr>
        <w:t xml:space="preserve">en el Diario Oficial </w:t>
      </w:r>
      <w:r w:rsidR="00C23B64">
        <w:rPr>
          <w:sz w:val="24"/>
        </w:rPr>
        <w:t>"</w:t>
      </w:r>
      <w:r w:rsidRPr="008C4A2B">
        <w:rPr>
          <w:sz w:val="24"/>
        </w:rPr>
        <w:t>El Peruano</w:t>
      </w:r>
      <w:r w:rsidR="00C23B64">
        <w:rPr>
          <w:sz w:val="24"/>
        </w:rPr>
        <w:t>"</w:t>
      </w:r>
      <w:r w:rsidRPr="008C4A2B">
        <w:rPr>
          <w:sz w:val="24"/>
        </w:rPr>
        <w:t>, y a la Subgerencia de Tecnología de la Información y Estadística su publicación en el portal institucional: (https://web.municarabayllo.gob.pe/normas-legales).</w:t>
      </w:r>
    </w:p>
    <w:p w14:paraId="78FA21E6" w14:textId="4C0A71A0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 xml:space="preserve">Quinta.- Suspéndase por el plazo de la vigencia de la presente </w:t>
      </w:r>
      <w:r w:rsidR="00C23B64" w:rsidRPr="008C4A2B">
        <w:rPr>
          <w:sz w:val="24"/>
        </w:rPr>
        <w:t>ordenanza municipal, toda disposición que se oponga a lo establecido en l</w:t>
      </w:r>
      <w:r w:rsidRPr="008C4A2B">
        <w:rPr>
          <w:sz w:val="24"/>
        </w:rPr>
        <w:t>a presente norma.</w:t>
      </w:r>
    </w:p>
    <w:p w14:paraId="49802E81" w14:textId="77777777" w:rsidR="008C4A2B" w:rsidRPr="008C4A2B" w:rsidRDefault="008C4A2B" w:rsidP="00965E38">
      <w:pPr>
        <w:spacing w:before="120"/>
        <w:rPr>
          <w:sz w:val="24"/>
        </w:rPr>
      </w:pPr>
      <w:r w:rsidRPr="008C4A2B">
        <w:rPr>
          <w:sz w:val="24"/>
        </w:rPr>
        <w:t>Pablo Mendoza Cueva</w:t>
      </w:r>
    </w:p>
    <w:p w14:paraId="300D7A89" w14:textId="38F70396" w:rsidR="008C4A2B" w:rsidRDefault="008C4A2B" w:rsidP="00965E38">
      <w:pPr>
        <w:spacing w:before="120"/>
      </w:pPr>
      <w:r w:rsidRPr="008C4A2B">
        <w:rPr>
          <w:sz w:val="24"/>
        </w:rPr>
        <w:t>Alcalde</w:t>
      </w:r>
    </w:p>
    <w:p w14:paraId="77DED715" w14:textId="29E0C61E" w:rsidR="008C4A2B" w:rsidRDefault="008C4A2B" w:rsidP="00965E38">
      <w:pPr>
        <w:spacing w:before="120"/>
        <w:jc w:val="center"/>
      </w:pPr>
      <w:r w:rsidRPr="008C4A2B">
        <w:t xml:space="preserve">Documento publicado en el Diario Oficial </w:t>
      </w:r>
      <w:r w:rsidR="00C23B64">
        <w:t>"</w:t>
      </w:r>
      <w:r w:rsidRPr="008C4A2B">
        <w:t>El Peruano</w:t>
      </w:r>
      <w:r w:rsidR="00C23B64">
        <w:t>"</w:t>
      </w:r>
      <w:r w:rsidRPr="008C4A2B">
        <w:t xml:space="preserve"> el 8 de octubre del 2025.</w:t>
      </w:r>
    </w:p>
    <w:sectPr w:rsidR="008C4A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CDACA" w14:textId="77777777" w:rsidR="004309A9" w:rsidRDefault="004309A9" w:rsidP="008C4A2B">
      <w:r>
        <w:separator/>
      </w:r>
    </w:p>
  </w:endnote>
  <w:endnote w:type="continuationSeparator" w:id="0">
    <w:p w14:paraId="6FE94BF6" w14:textId="77777777" w:rsidR="004309A9" w:rsidRDefault="004309A9" w:rsidP="008C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BE4DC" w14:textId="3544BF8A" w:rsidR="008C4A2B" w:rsidRPr="00965E38" w:rsidRDefault="008C4A2B" w:rsidP="00965E38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3D40EA4A" wp14:editId="515C287C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E2768" w14:textId="77777777" w:rsidR="004309A9" w:rsidRDefault="004309A9" w:rsidP="008C4A2B">
      <w:r>
        <w:separator/>
      </w:r>
    </w:p>
  </w:footnote>
  <w:footnote w:type="continuationSeparator" w:id="0">
    <w:p w14:paraId="1710977E" w14:textId="77777777" w:rsidR="004309A9" w:rsidRDefault="004309A9" w:rsidP="008C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A428" w14:textId="2530202A" w:rsidR="008C4A2B" w:rsidRDefault="008C4A2B" w:rsidP="00965E38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1E94A22" wp14:editId="2FDF50EB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2B"/>
    <w:rsid w:val="0002405D"/>
    <w:rsid w:val="000526BE"/>
    <w:rsid w:val="00096CEC"/>
    <w:rsid w:val="00133291"/>
    <w:rsid w:val="002017D0"/>
    <w:rsid w:val="004309A9"/>
    <w:rsid w:val="00580259"/>
    <w:rsid w:val="00615327"/>
    <w:rsid w:val="006763AB"/>
    <w:rsid w:val="007F0EA7"/>
    <w:rsid w:val="008066EB"/>
    <w:rsid w:val="008C4A2B"/>
    <w:rsid w:val="008F2267"/>
    <w:rsid w:val="00965E38"/>
    <w:rsid w:val="00A73FFE"/>
    <w:rsid w:val="00AA3083"/>
    <w:rsid w:val="00BB3261"/>
    <w:rsid w:val="00C23B64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1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8C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4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4A2B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C4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A2B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8C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4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4A2B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C4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A2B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2467</Words>
  <Characters>13573</Characters>
  <Application>Microsoft Office Word</Application>
  <DocSecurity>0</DocSecurity>
  <Lines>113</Lines>
  <Paragraphs>32</Paragraphs>
  <ScaleCrop>false</ScaleCrop>
  <Company/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4</cp:revision>
  <dcterms:created xsi:type="dcterms:W3CDTF">2025-10-09T17:03:00Z</dcterms:created>
  <dcterms:modified xsi:type="dcterms:W3CDTF">2025-10-09T19:49:00Z</dcterms:modified>
</cp:coreProperties>
</file>