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324D1" w14:textId="560206D2" w:rsidR="00AE0099" w:rsidRPr="00AE0099" w:rsidRDefault="00AE0099" w:rsidP="00130FEC">
      <w:pPr>
        <w:spacing w:before="120"/>
        <w:jc w:val="center"/>
        <w:rPr>
          <w:b/>
          <w:bCs/>
          <w:sz w:val="24"/>
        </w:rPr>
      </w:pPr>
      <w:bookmarkStart w:id="0" w:name="_GoBack"/>
      <w:bookmarkEnd w:id="0"/>
      <w:r w:rsidRPr="00AE0099">
        <w:rPr>
          <w:b/>
          <w:bCs/>
          <w:sz w:val="24"/>
        </w:rPr>
        <w:t>Aprueban la incorporación de servicios al Texto Único de Servicios No Exclusivos - TUSNE de la Municipalidad de Pueblo Libre</w:t>
      </w:r>
    </w:p>
    <w:p w14:paraId="2A5D64B0" w14:textId="091D71EE" w:rsidR="00AE0099" w:rsidRPr="00AE0099" w:rsidRDefault="00AE0099" w:rsidP="00130FEC">
      <w:pPr>
        <w:spacing w:before="120"/>
        <w:jc w:val="center"/>
        <w:rPr>
          <w:b/>
          <w:bCs/>
          <w:sz w:val="24"/>
        </w:rPr>
      </w:pPr>
      <w:r w:rsidRPr="00AE0099">
        <w:rPr>
          <w:b/>
          <w:bCs/>
          <w:sz w:val="24"/>
        </w:rPr>
        <w:t>Resolución de Alcaldía N.° 143-2025-MPL</w:t>
      </w:r>
    </w:p>
    <w:p w14:paraId="57FEEFD0" w14:textId="0DD7FCFD" w:rsidR="00AE0099" w:rsidRPr="00AE0099" w:rsidRDefault="00AE0099" w:rsidP="00130FEC">
      <w:pPr>
        <w:spacing w:before="120"/>
        <w:rPr>
          <w:sz w:val="24"/>
        </w:rPr>
      </w:pPr>
      <w:r w:rsidRPr="00AE0099">
        <w:rPr>
          <w:sz w:val="24"/>
        </w:rPr>
        <w:t>Pueblo Libre, 27 de octubre del 2025</w:t>
      </w:r>
    </w:p>
    <w:p w14:paraId="2462F756" w14:textId="7EAE2689" w:rsidR="00AE0099" w:rsidRPr="00AE0099" w:rsidRDefault="00AE0099" w:rsidP="00130FEC">
      <w:pPr>
        <w:spacing w:before="120"/>
        <w:rPr>
          <w:sz w:val="24"/>
        </w:rPr>
      </w:pPr>
      <w:r w:rsidRPr="00AE0099">
        <w:rPr>
          <w:sz w:val="24"/>
        </w:rPr>
        <w:t xml:space="preserve">La </w:t>
      </w:r>
      <w:r w:rsidR="00130FEC" w:rsidRPr="00AE0099">
        <w:rPr>
          <w:sz w:val="24"/>
        </w:rPr>
        <w:t xml:space="preserve">alcaldesa </w:t>
      </w:r>
      <w:r w:rsidRPr="00AE0099">
        <w:rPr>
          <w:sz w:val="24"/>
        </w:rPr>
        <w:t>de la Municipalidad de Pueblo Libre;</w:t>
      </w:r>
    </w:p>
    <w:p w14:paraId="303EB289" w14:textId="3DDEB3A7" w:rsidR="00AE0099" w:rsidRPr="00AE0099" w:rsidRDefault="00AE0099" w:rsidP="00130FEC">
      <w:pPr>
        <w:spacing w:before="120"/>
        <w:rPr>
          <w:sz w:val="24"/>
        </w:rPr>
      </w:pPr>
      <w:r w:rsidRPr="00AE0099">
        <w:rPr>
          <w:sz w:val="24"/>
        </w:rPr>
        <w:t>Visto; el Memorando Múltiple N.° 000036-2025-MPL/GPP, de fecha 24 de julio del 2025, de la Gerencia de Planeamiento y Presupuesto; el Informe N.° 000631-2025-MPL/SGOPC, de fecha 22 de agosto del 2025, de la Subgerencia de obras Públicas y Catastro; el Informe N.° 000198-2025-MPL/GPP, de fecha 20 de octubre del 2025, de la Gerencia de Planeamiento y Presupuesto; el Informe N.° 000493-2025-MPL/GAJ, de fecha 22 de octubre del 2025, de la Gerencia de Asesoría Jurídica; el Memorando N.° 001863-2025-MPL/GM, de fecha 22 de octubre del 2025, de la Gerencia Municipal; y,</w:t>
      </w:r>
    </w:p>
    <w:p w14:paraId="616E26F0" w14:textId="4C913404" w:rsidR="00AE0099" w:rsidRPr="00AE0099" w:rsidRDefault="00AE0099" w:rsidP="00130FEC">
      <w:pPr>
        <w:spacing w:before="120"/>
        <w:rPr>
          <w:sz w:val="24"/>
        </w:rPr>
      </w:pPr>
      <w:r w:rsidRPr="00AE0099">
        <w:rPr>
          <w:sz w:val="24"/>
        </w:rPr>
        <w:t>Considerando:</w:t>
      </w:r>
    </w:p>
    <w:p w14:paraId="6BB1E3A7" w14:textId="7AC56905" w:rsidR="00AE0099" w:rsidRPr="00AE0099" w:rsidRDefault="00AE0099" w:rsidP="00130FEC">
      <w:pPr>
        <w:spacing w:before="120"/>
        <w:rPr>
          <w:sz w:val="24"/>
        </w:rPr>
      </w:pPr>
      <w:r w:rsidRPr="00AE0099">
        <w:rPr>
          <w:sz w:val="24"/>
        </w:rPr>
        <w:t>Que, el artículo 194 de la Constitución Política del Perú, modificado por la Ley N.° 30305, Ley de Reforma Constitucional, concordado con el artículo II del Título Preliminar de la Ley N.° 27972, Ley Orgánica de Municipalidades, señala que los Gobiernos Locales gozan de autonomía política, económica y administrativa en los asuntos de su competencia, teniendo en cuenta que dicha autonomía radica en la facultad de ejercer actos de gobierno, administrativos y de administración con sujeción al ordenamiento jurídico;</w:t>
      </w:r>
    </w:p>
    <w:p w14:paraId="5C4FEF54" w14:textId="418CF62C" w:rsidR="00AE0099" w:rsidRPr="00AE0099" w:rsidRDefault="00AE0099" w:rsidP="00130FEC">
      <w:pPr>
        <w:spacing w:before="120"/>
        <w:rPr>
          <w:sz w:val="24"/>
        </w:rPr>
      </w:pPr>
      <w:r w:rsidRPr="00AE0099">
        <w:rPr>
          <w:sz w:val="24"/>
        </w:rPr>
        <w:t xml:space="preserve">Que, el artículo 43 de la Ley N.° 27972, Ley Orgánica de Municipalidades, establece que las Resoluciones de Alcaldía aprueban y resuelven los asuntos de carácter administrativo; así mismo, el inciso 6 del artículo 20 de </w:t>
      </w:r>
      <w:r w:rsidR="00130FEC" w:rsidRPr="00AE0099">
        <w:rPr>
          <w:sz w:val="24"/>
        </w:rPr>
        <w:t>la ley en mención; señala que, son atribuciones del alcalde; entre otras, dictar decretos y resoluciones de alcaldía, con sujeción a las leyes y ordenanzas;</w:t>
      </w:r>
    </w:p>
    <w:p w14:paraId="09DD23D8" w14:textId="0FC2308F" w:rsidR="00AE0099" w:rsidRPr="00AE0099" w:rsidRDefault="00AE0099" w:rsidP="00130FEC">
      <w:pPr>
        <w:spacing w:before="120"/>
        <w:rPr>
          <w:sz w:val="24"/>
        </w:rPr>
      </w:pPr>
      <w:r w:rsidRPr="00AE0099">
        <w:rPr>
          <w:sz w:val="24"/>
        </w:rPr>
        <w:t xml:space="preserve">Que, sobre el asunto de la material, el numeral 43.4 del artículo 43 del Texto Único Ordenado de la Ley N.° 27444, Ley del Procedimiento Administrativo General aprobado mediante Decreto Supremo N.° 004-2019-JUS establece que: </w:t>
      </w:r>
      <w:r w:rsidR="00130FEC">
        <w:rPr>
          <w:sz w:val="24"/>
        </w:rPr>
        <w:t>"</w:t>
      </w:r>
      <w:r w:rsidRPr="00AE0099">
        <w:rPr>
          <w:sz w:val="24"/>
        </w:rPr>
        <w:t>Para aquellos servicios que no sean prestados en exclusividad, las entidades, a través de</w:t>
      </w:r>
      <w:r w:rsidR="00130FEC" w:rsidRPr="00AE0099">
        <w:rPr>
          <w:sz w:val="24"/>
        </w:rPr>
        <w:t xml:space="preserve"> resolución del titular de la entidad establecen la </w:t>
      </w:r>
      <w:r w:rsidRPr="00AE0099">
        <w:rPr>
          <w:sz w:val="24"/>
        </w:rPr>
        <w:t>denominación, la descripción clara y taxativa de los requisitos y sus respectivos costos, los cuales deben ser debidamente difundidos para que sean de público conocimiento, respetando lo establecido en el artículo 60 de la Constitución Política del Perú y las normas sobre represión de la competencia desleal</w:t>
      </w:r>
      <w:r w:rsidR="00130FEC">
        <w:rPr>
          <w:sz w:val="24"/>
        </w:rPr>
        <w:t>"</w:t>
      </w:r>
      <w:r w:rsidRPr="00AE0099">
        <w:rPr>
          <w:sz w:val="24"/>
        </w:rPr>
        <w:t>;</w:t>
      </w:r>
    </w:p>
    <w:p w14:paraId="4C0ECC3F" w14:textId="1C08DB5C" w:rsidR="00AE0099" w:rsidRPr="00AE0099" w:rsidRDefault="00AE0099" w:rsidP="00130FEC">
      <w:pPr>
        <w:spacing w:before="120"/>
        <w:rPr>
          <w:sz w:val="24"/>
        </w:rPr>
      </w:pPr>
      <w:r w:rsidRPr="00AE0099">
        <w:rPr>
          <w:sz w:val="24"/>
        </w:rPr>
        <w:t>Que, con Resolución de Alcaldía N.° 119-2025-MPL, de fecha 18 de agosto del 2025, se aprobó el Texto Único de Servicios No Exclusivos - TUSNE de la Municipalidad de Pueblo Libre;</w:t>
      </w:r>
    </w:p>
    <w:p w14:paraId="1BDA93BA" w14:textId="6EEF667D" w:rsidR="00AE0099" w:rsidRPr="00AE0099" w:rsidRDefault="00AE0099" w:rsidP="00130FEC">
      <w:pPr>
        <w:spacing w:before="120"/>
        <w:rPr>
          <w:sz w:val="24"/>
        </w:rPr>
      </w:pPr>
      <w:r w:rsidRPr="00AE0099">
        <w:rPr>
          <w:sz w:val="24"/>
        </w:rPr>
        <w:t xml:space="preserve">Que, ahora bien, con Memorando Múltiple N.° 000036-2025-MPL/GPP, de fecha 24 de julio del 2025, la Gerencia de Planeamiento y Presupuesto solicita a las gerencias y subgerencias correspondientes completen el formato </w:t>
      </w:r>
      <w:r w:rsidR="00130FEC">
        <w:rPr>
          <w:sz w:val="24"/>
        </w:rPr>
        <w:t>"</w:t>
      </w:r>
      <w:r w:rsidRPr="00AE0099">
        <w:rPr>
          <w:sz w:val="24"/>
        </w:rPr>
        <w:t>Costeo de servicio TUSNE</w:t>
      </w:r>
      <w:r w:rsidR="00130FEC">
        <w:rPr>
          <w:sz w:val="24"/>
        </w:rPr>
        <w:t>"</w:t>
      </w:r>
      <w:r w:rsidRPr="00AE0099">
        <w:rPr>
          <w:sz w:val="24"/>
        </w:rPr>
        <w:t xml:space="preserve"> por cada uno de los servicios que se están considerando en la propuesta del mismo;</w:t>
      </w:r>
    </w:p>
    <w:p w14:paraId="6929EB60" w14:textId="76F10BA0" w:rsidR="00AE0099" w:rsidRPr="00AE0099" w:rsidRDefault="00AE0099" w:rsidP="00130FEC">
      <w:pPr>
        <w:spacing w:before="120"/>
        <w:rPr>
          <w:sz w:val="24"/>
        </w:rPr>
      </w:pPr>
      <w:r w:rsidRPr="00AE0099">
        <w:rPr>
          <w:sz w:val="24"/>
        </w:rPr>
        <w:lastRenderedPageBreak/>
        <w:t>Que, conforme a lo expuesto, con Informe N.° 000631-2025-MPL/SGOPC, de fecha 22 de agosto del 2025, la Subgerencia de Obras Públicas y Catastro, traslada a la Gerencia de Planeamiento y Presupuesto, la versión final de los formatos de los trámites del Texto Único de Servicios No Exclusivos;</w:t>
      </w:r>
    </w:p>
    <w:p w14:paraId="590FC522" w14:textId="0C445FF7" w:rsidR="00AE0099" w:rsidRPr="00AE0099" w:rsidRDefault="00AE0099" w:rsidP="00130FEC">
      <w:pPr>
        <w:spacing w:before="120"/>
        <w:rPr>
          <w:sz w:val="24"/>
        </w:rPr>
      </w:pPr>
      <w:r w:rsidRPr="00AE0099">
        <w:rPr>
          <w:sz w:val="24"/>
        </w:rPr>
        <w:t xml:space="preserve">Que, mediante Informe N.° 000198-2025-MPL/GPP, de fecha 20 de octubre del 2025, la Gerencia de Planeamiento y Presupuesto, refiere que, el Texto Único de Servicios No Exclusivos es un instrumento de gestión y compila los servicios no exclusivos prestados por la entidad pública, para ello la Subgerencia de Obras Públicas y Catastro ha remitido su propuesta de incorporación; por lo que, es preciso señalar que, la herramienta que se está utilizando es el sistema de costeo ABC (Activity Based Costing) o costeo basado en actividades, la cual permite realizar un cálculo de costos más exacto que los modelos tradicionales y además hacer un análisis de procesos que permita su mejoramiento, basándose en que los productos consumen actividades y las actividades recursos (costos), de esta forma se obtiene información de lo que cuesta cada actividad y qué actividades son necesarias para la generación de cada producto, sabiendo así cuánto cuesta cada producto a partir de las actividades que lo constituyen. Adicionalmente, refiere que, en materia de planeamiento estratégico, ha verificado que la propuesta de incorporación de servicios al TUSNE contribuye al cumplimiento del Objetivo Estratégico Institucional </w:t>
      </w:r>
      <w:r w:rsidR="00130FEC">
        <w:rPr>
          <w:sz w:val="24"/>
        </w:rPr>
        <w:t>-</w:t>
      </w:r>
      <w:r w:rsidRPr="00AE0099">
        <w:rPr>
          <w:sz w:val="24"/>
        </w:rPr>
        <w:t xml:space="preserve"> OEI.08 </w:t>
      </w:r>
      <w:r w:rsidR="00130FEC">
        <w:rPr>
          <w:sz w:val="24"/>
        </w:rPr>
        <w:t>"</w:t>
      </w:r>
      <w:r w:rsidRPr="00AE0099">
        <w:rPr>
          <w:sz w:val="24"/>
        </w:rPr>
        <w:t>Fortalecer la gestión institucional de la Municipalidad de Pueblo Libre</w:t>
      </w:r>
      <w:r w:rsidR="00130FEC">
        <w:rPr>
          <w:sz w:val="24"/>
        </w:rPr>
        <w:t>"</w:t>
      </w:r>
      <w:r w:rsidRPr="00AE0099">
        <w:rPr>
          <w:sz w:val="24"/>
        </w:rPr>
        <w:t xml:space="preserve"> del Plan Estratégico Institucional 2025-2030; así mismo, precisa que, en materia presupuestal ha verificado que, la aplicación del mismo no demandará recursos del presupuesto institucional; por lo que, la propuesta planteada se encuentra en el marco de sus funciones y competencias como órgano proponente y contribuye con el OEI.08 del Plan Estratégico Institucional 2025-2030;</w:t>
      </w:r>
    </w:p>
    <w:p w14:paraId="293AAABF" w14:textId="77A36E24" w:rsidR="00AE0099" w:rsidRPr="00AE0099" w:rsidRDefault="00AE0099" w:rsidP="00130FEC">
      <w:pPr>
        <w:spacing w:before="120"/>
        <w:rPr>
          <w:sz w:val="24"/>
        </w:rPr>
      </w:pPr>
      <w:r w:rsidRPr="00AE0099">
        <w:rPr>
          <w:sz w:val="24"/>
        </w:rPr>
        <w:t>Que, con Informe N.° 000493-2025-MPL/GAJ, de fecha 22 de octubre del 2025, la Gerencia de Asesoría Jurídica, señala que, revisado el Informe Técnico de la Gerencia de Planeamiento y Presupuesto, encuentra que el mismo ha sido emitido de acuerdo a sus funciones y competencias establecidas en el Reglamento de Organización y Funciones de la</w:t>
      </w:r>
      <w:r w:rsidR="00130FEC" w:rsidRPr="00AE0099">
        <w:rPr>
          <w:sz w:val="24"/>
        </w:rPr>
        <w:t xml:space="preserve"> municipalidad; por </w:t>
      </w:r>
      <w:r w:rsidRPr="00AE0099">
        <w:rPr>
          <w:sz w:val="24"/>
        </w:rPr>
        <w:t xml:space="preserve">consiguiente, emite opinión legal favorable para que la propuesta de incorporación de (8) servicios al Texto Único de Servicios No Exclusivos - TUSNE de la Municipalidad de Pueblo Libre aprobado por Resolución de Alcaldía N.° 119-2025-MPL, sea puesta a consideración de la </w:t>
      </w:r>
      <w:r w:rsidR="00130FEC" w:rsidRPr="00AE0099">
        <w:rPr>
          <w:sz w:val="24"/>
        </w:rPr>
        <w:t>señora alcaldesa para su aprobación; a través, de la resolución de alcaldía co</w:t>
      </w:r>
      <w:r w:rsidRPr="00AE0099">
        <w:rPr>
          <w:sz w:val="24"/>
        </w:rPr>
        <w:t>rrespondiente;</w:t>
      </w:r>
    </w:p>
    <w:p w14:paraId="2557B5A0" w14:textId="03A68076" w:rsidR="00AE0099" w:rsidRPr="00AE0099" w:rsidRDefault="00AE0099" w:rsidP="00130FEC">
      <w:pPr>
        <w:spacing w:before="120"/>
        <w:rPr>
          <w:sz w:val="24"/>
        </w:rPr>
      </w:pPr>
      <w:r w:rsidRPr="00AE0099">
        <w:rPr>
          <w:sz w:val="24"/>
        </w:rPr>
        <w:t>Que, con Memorando N.° 001863-2025-MPL/GM, de fecha 22 de octubre del 2025, la Gerencia Municipal, remite el Informe N.° 000493-2025-MPL/GAJ, de la Gerencia de Asesoría Jurídica; así como, todos los actuados a fin de proseguir con el trámite respectivo para la emisión del correspondiente acto resolutivo;</w:t>
      </w:r>
    </w:p>
    <w:p w14:paraId="07D94DA7" w14:textId="16A1B415" w:rsidR="00AE0099" w:rsidRPr="00130FEC" w:rsidRDefault="00AE0099" w:rsidP="00130FEC">
      <w:pPr>
        <w:spacing w:before="120"/>
        <w:rPr>
          <w:bCs/>
          <w:sz w:val="24"/>
        </w:rPr>
      </w:pPr>
      <w:r w:rsidRPr="00130FEC">
        <w:rPr>
          <w:bCs/>
          <w:sz w:val="24"/>
        </w:rPr>
        <w:t>Estando a las atribuciones conferidas por el inciso 6 del artículo 20 de la Ley N.° 27972, Ley Orgánica de Municipalidades;</w:t>
      </w:r>
    </w:p>
    <w:p w14:paraId="1E128A82" w14:textId="0A8CB445" w:rsidR="00AE0099" w:rsidRPr="00AE0099" w:rsidRDefault="00AE0099" w:rsidP="00130FEC">
      <w:pPr>
        <w:spacing w:before="120"/>
        <w:rPr>
          <w:sz w:val="24"/>
        </w:rPr>
      </w:pPr>
      <w:r w:rsidRPr="00AE0099">
        <w:rPr>
          <w:sz w:val="24"/>
        </w:rPr>
        <w:t>Se resuelve:</w:t>
      </w:r>
    </w:p>
    <w:p w14:paraId="2EAEDBB7" w14:textId="2B2B7766" w:rsidR="002017D0" w:rsidRDefault="00AE0099" w:rsidP="00CB0697">
      <w:pPr>
        <w:spacing w:before="120" w:after="120"/>
        <w:rPr>
          <w:sz w:val="24"/>
        </w:rPr>
      </w:pPr>
      <w:r w:rsidRPr="00AE0099">
        <w:rPr>
          <w:sz w:val="24"/>
        </w:rPr>
        <w:lastRenderedPageBreak/>
        <w:t>Artículo Primero.- Aprobar la incorporación de ocho (8) servicios al Texto Único de Servicios No Exclusivos - TUSNE de la Municipalidad de Pueblo Libre, aprobado con Resolución de Alcaldía N.° 119-2025-MPL, quedando de la siguiente manera:</w:t>
      </w:r>
    </w:p>
    <w:tbl>
      <w:tblPr>
        <w:tblStyle w:val="Tablaconcuadrcula"/>
        <w:tblW w:w="0" w:type="auto"/>
        <w:tblLook w:val="04A0" w:firstRow="1" w:lastRow="0" w:firstColumn="1" w:lastColumn="0" w:noHBand="0" w:noVBand="1"/>
      </w:tblPr>
      <w:tblGrid>
        <w:gridCol w:w="675"/>
        <w:gridCol w:w="2552"/>
        <w:gridCol w:w="425"/>
        <w:gridCol w:w="2126"/>
        <w:gridCol w:w="2866"/>
      </w:tblGrid>
      <w:tr w:rsidR="00CB0697" w:rsidRPr="00CB0697" w14:paraId="622A5AFD" w14:textId="77777777" w:rsidTr="00CB0697">
        <w:tc>
          <w:tcPr>
            <w:tcW w:w="675" w:type="dxa"/>
          </w:tcPr>
          <w:p w14:paraId="47A05BE2" w14:textId="77777777" w:rsidR="00CB0697" w:rsidRPr="00CB0697" w:rsidRDefault="00CB0697" w:rsidP="00CB0697">
            <w:pPr>
              <w:jc w:val="center"/>
              <w:rPr>
                <w:b/>
                <w:szCs w:val="20"/>
              </w:rPr>
            </w:pPr>
            <w:r w:rsidRPr="00CB0697">
              <w:rPr>
                <w:b/>
                <w:szCs w:val="20"/>
              </w:rPr>
              <w:t>Ítem</w:t>
            </w:r>
          </w:p>
        </w:tc>
        <w:tc>
          <w:tcPr>
            <w:tcW w:w="2977" w:type="dxa"/>
            <w:gridSpan w:val="2"/>
          </w:tcPr>
          <w:p w14:paraId="6DF1B6E7" w14:textId="77777777" w:rsidR="00CB0697" w:rsidRPr="00CB0697" w:rsidRDefault="00CB0697" w:rsidP="00CB0697">
            <w:pPr>
              <w:jc w:val="center"/>
              <w:rPr>
                <w:b/>
                <w:szCs w:val="20"/>
              </w:rPr>
            </w:pPr>
            <w:r w:rsidRPr="00CB0697">
              <w:rPr>
                <w:b/>
                <w:szCs w:val="20"/>
              </w:rPr>
              <w:t>Denominación del servicio</w:t>
            </w:r>
          </w:p>
        </w:tc>
        <w:tc>
          <w:tcPr>
            <w:tcW w:w="2126" w:type="dxa"/>
          </w:tcPr>
          <w:p w14:paraId="6D02B8E5" w14:textId="77777777" w:rsidR="00CB0697" w:rsidRPr="00CB0697" w:rsidRDefault="00CB0697" w:rsidP="00CB0697">
            <w:pPr>
              <w:jc w:val="center"/>
              <w:rPr>
                <w:b/>
                <w:szCs w:val="20"/>
              </w:rPr>
            </w:pPr>
            <w:r w:rsidRPr="00CB0697">
              <w:rPr>
                <w:b/>
                <w:szCs w:val="20"/>
              </w:rPr>
              <w:t>Requisitos</w:t>
            </w:r>
          </w:p>
        </w:tc>
        <w:tc>
          <w:tcPr>
            <w:tcW w:w="2866" w:type="dxa"/>
          </w:tcPr>
          <w:p w14:paraId="1C7C287F" w14:textId="77777777" w:rsidR="00CB0697" w:rsidRPr="00CB0697" w:rsidRDefault="00CB0697" w:rsidP="00CB0697">
            <w:pPr>
              <w:jc w:val="center"/>
              <w:rPr>
                <w:b/>
                <w:szCs w:val="20"/>
              </w:rPr>
            </w:pPr>
            <w:r w:rsidRPr="00CB0697">
              <w:rPr>
                <w:b/>
                <w:szCs w:val="20"/>
              </w:rPr>
              <w:t>Tarifa</w:t>
            </w:r>
          </w:p>
        </w:tc>
      </w:tr>
      <w:tr w:rsidR="00CB0697" w:rsidRPr="00CB0697" w14:paraId="567B6429" w14:textId="77777777" w:rsidTr="00CB0697">
        <w:tc>
          <w:tcPr>
            <w:tcW w:w="675" w:type="dxa"/>
          </w:tcPr>
          <w:p w14:paraId="0DF1875C" w14:textId="77777777" w:rsidR="00CB0697" w:rsidRPr="00CB0697" w:rsidRDefault="00CB0697" w:rsidP="00CB0697">
            <w:pPr>
              <w:jc w:val="center"/>
              <w:rPr>
                <w:b/>
                <w:szCs w:val="20"/>
              </w:rPr>
            </w:pPr>
            <w:r w:rsidRPr="00CB0697">
              <w:rPr>
                <w:b/>
                <w:szCs w:val="20"/>
              </w:rPr>
              <w:t>9</w:t>
            </w:r>
          </w:p>
        </w:tc>
        <w:tc>
          <w:tcPr>
            <w:tcW w:w="7969" w:type="dxa"/>
            <w:gridSpan w:val="4"/>
          </w:tcPr>
          <w:p w14:paraId="54302800" w14:textId="3ADFE717" w:rsidR="00CB0697" w:rsidRPr="00CB0697" w:rsidRDefault="00CB0697" w:rsidP="0000216C">
            <w:pPr>
              <w:rPr>
                <w:b/>
                <w:szCs w:val="20"/>
              </w:rPr>
            </w:pPr>
            <w:r w:rsidRPr="00CB0697">
              <w:rPr>
                <w:b/>
                <w:szCs w:val="20"/>
              </w:rPr>
              <w:t>Subgerencia de obras públicas y catastro</w:t>
            </w:r>
          </w:p>
        </w:tc>
      </w:tr>
      <w:tr w:rsidR="00CB0697" w:rsidRPr="00CB0697" w14:paraId="64F38725" w14:textId="77777777" w:rsidTr="00CB0697">
        <w:tc>
          <w:tcPr>
            <w:tcW w:w="675" w:type="dxa"/>
          </w:tcPr>
          <w:p w14:paraId="56BE62C4" w14:textId="77777777" w:rsidR="00CB0697" w:rsidRPr="00CB0697" w:rsidRDefault="00CB0697" w:rsidP="00CB0697">
            <w:pPr>
              <w:jc w:val="center"/>
              <w:rPr>
                <w:szCs w:val="20"/>
              </w:rPr>
            </w:pPr>
            <w:r w:rsidRPr="00CB0697">
              <w:rPr>
                <w:szCs w:val="20"/>
              </w:rPr>
              <w:t>9.1</w:t>
            </w:r>
          </w:p>
        </w:tc>
        <w:tc>
          <w:tcPr>
            <w:tcW w:w="2552" w:type="dxa"/>
          </w:tcPr>
          <w:p w14:paraId="60DFEC4B" w14:textId="77777777" w:rsidR="00CB0697" w:rsidRPr="00CB0697" w:rsidRDefault="00CB0697" w:rsidP="0000216C">
            <w:pPr>
              <w:rPr>
                <w:szCs w:val="20"/>
              </w:rPr>
            </w:pPr>
            <w:r w:rsidRPr="00CB0697">
              <w:rPr>
                <w:szCs w:val="20"/>
              </w:rPr>
              <w:t>Impresión de plano por sección vial</w:t>
            </w:r>
          </w:p>
        </w:tc>
        <w:tc>
          <w:tcPr>
            <w:tcW w:w="2551" w:type="dxa"/>
            <w:gridSpan w:val="2"/>
          </w:tcPr>
          <w:p w14:paraId="4AF8C65C" w14:textId="77777777" w:rsidR="00CB0697" w:rsidRDefault="00CB0697" w:rsidP="0000216C">
            <w:pPr>
              <w:rPr>
                <w:szCs w:val="20"/>
              </w:rPr>
            </w:pPr>
            <w:r w:rsidRPr="00CB0697">
              <w:rPr>
                <w:szCs w:val="20"/>
              </w:rPr>
              <w:t>1. Solicitud simple</w:t>
            </w:r>
          </w:p>
          <w:p w14:paraId="0978D317" w14:textId="41B13B5B" w:rsidR="00CB0697" w:rsidRPr="00CB0697" w:rsidRDefault="00CB0697" w:rsidP="0000216C">
            <w:pPr>
              <w:rPr>
                <w:szCs w:val="20"/>
              </w:rPr>
            </w:pPr>
            <w:r w:rsidRPr="00CB0697">
              <w:rPr>
                <w:szCs w:val="20"/>
              </w:rPr>
              <w:t>2. Pago correspondiente al servicio</w:t>
            </w:r>
          </w:p>
        </w:tc>
        <w:tc>
          <w:tcPr>
            <w:tcW w:w="2866" w:type="dxa"/>
          </w:tcPr>
          <w:p w14:paraId="7B46C4A9" w14:textId="5AA275A8" w:rsidR="00CB0697" w:rsidRPr="00CB0697" w:rsidRDefault="00CB0697" w:rsidP="00CB0697">
            <w:pPr>
              <w:jc w:val="center"/>
              <w:rPr>
                <w:szCs w:val="20"/>
              </w:rPr>
            </w:pPr>
            <w:r w:rsidRPr="00CB0697">
              <w:rPr>
                <w:szCs w:val="20"/>
              </w:rPr>
              <w:t>47.10</w:t>
            </w:r>
          </w:p>
        </w:tc>
      </w:tr>
      <w:tr w:rsidR="00CB0697" w:rsidRPr="00CB0697" w14:paraId="230A8856" w14:textId="77777777" w:rsidTr="00CB0697">
        <w:tc>
          <w:tcPr>
            <w:tcW w:w="675" w:type="dxa"/>
          </w:tcPr>
          <w:p w14:paraId="1874C20F" w14:textId="77777777" w:rsidR="00CB0697" w:rsidRPr="00CB0697" w:rsidRDefault="00CB0697" w:rsidP="00CB0697">
            <w:pPr>
              <w:jc w:val="center"/>
              <w:rPr>
                <w:szCs w:val="20"/>
              </w:rPr>
            </w:pPr>
            <w:r w:rsidRPr="00CB0697">
              <w:rPr>
                <w:szCs w:val="20"/>
              </w:rPr>
              <w:t>9.2</w:t>
            </w:r>
          </w:p>
        </w:tc>
        <w:tc>
          <w:tcPr>
            <w:tcW w:w="2552" w:type="dxa"/>
          </w:tcPr>
          <w:p w14:paraId="524586C7" w14:textId="77777777" w:rsidR="00CB0697" w:rsidRPr="00CB0697" w:rsidRDefault="00CB0697" w:rsidP="0000216C">
            <w:pPr>
              <w:rPr>
                <w:szCs w:val="20"/>
              </w:rPr>
            </w:pPr>
            <w:r w:rsidRPr="00CB0697">
              <w:rPr>
                <w:szCs w:val="20"/>
              </w:rPr>
              <w:t>Verificación de linderos</w:t>
            </w:r>
          </w:p>
        </w:tc>
        <w:tc>
          <w:tcPr>
            <w:tcW w:w="2551" w:type="dxa"/>
            <w:gridSpan w:val="2"/>
          </w:tcPr>
          <w:p w14:paraId="25888FE4" w14:textId="77777777" w:rsidR="00CB0697" w:rsidRDefault="00CB0697" w:rsidP="0000216C">
            <w:pPr>
              <w:rPr>
                <w:szCs w:val="20"/>
              </w:rPr>
            </w:pPr>
            <w:r w:rsidRPr="00CB0697">
              <w:rPr>
                <w:szCs w:val="20"/>
              </w:rPr>
              <w:t>1. Solicitud simple</w:t>
            </w:r>
          </w:p>
          <w:p w14:paraId="505050A7" w14:textId="521110CE" w:rsidR="00CB0697" w:rsidRPr="00CB0697" w:rsidRDefault="00CB0697" w:rsidP="00CB0697">
            <w:pPr>
              <w:rPr>
                <w:szCs w:val="20"/>
              </w:rPr>
            </w:pPr>
            <w:r w:rsidRPr="00CB0697">
              <w:rPr>
                <w:szCs w:val="20"/>
              </w:rPr>
              <w:t>2. Pago correspondiente al servicio</w:t>
            </w:r>
          </w:p>
        </w:tc>
        <w:tc>
          <w:tcPr>
            <w:tcW w:w="2866" w:type="dxa"/>
          </w:tcPr>
          <w:p w14:paraId="0A11BD49" w14:textId="77777777" w:rsidR="00CB0697" w:rsidRDefault="00CB0697" w:rsidP="0000216C">
            <w:pPr>
              <w:rPr>
                <w:szCs w:val="20"/>
              </w:rPr>
            </w:pPr>
            <w:r w:rsidRPr="00CB0697">
              <w:rPr>
                <w:szCs w:val="20"/>
              </w:rPr>
              <w:t>Hasta 120 m2: 56.80</w:t>
            </w:r>
          </w:p>
          <w:p w14:paraId="00DD7DA2" w14:textId="77777777" w:rsidR="00CB0697" w:rsidRPr="00CB0697" w:rsidRDefault="00CB0697" w:rsidP="00CB0697">
            <w:pPr>
              <w:rPr>
                <w:szCs w:val="20"/>
              </w:rPr>
            </w:pPr>
            <w:r w:rsidRPr="00CB0697">
              <w:rPr>
                <w:szCs w:val="20"/>
              </w:rPr>
              <w:t>Mayor a 120 m2 hasta 300 m2: 71.60</w:t>
            </w:r>
          </w:p>
          <w:p w14:paraId="4C295132" w14:textId="77777777" w:rsidR="00CB0697" w:rsidRPr="00CB0697" w:rsidRDefault="00CB0697" w:rsidP="00CB0697">
            <w:pPr>
              <w:rPr>
                <w:szCs w:val="20"/>
              </w:rPr>
            </w:pPr>
            <w:r w:rsidRPr="00CB0697">
              <w:rPr>
                <w:szCs w:val="20"/>
              </w:rPr>
              <w:t>Mayor a 300 m2 hasta 1 000 m2: 73.50</w:t>
            </w:r>
          </w:p>
          <w:p w14:paraId="681CBE7C" w14:textId="77777777" w:rsidR="00CB0697" w:rsidRPr="00CB0697" w:rsidRDefault="00CB0697" w:rsidP="00CB0697">
            <w:pPr>
              <w:rPr>
                <w:szCs w:val="20"/>
              </w:rPr>
            </w:pPr>
            <w:r w:rsidRPr="00CB0697">
              <w:rPr>
                <w:szCs w:val="20"/>
              </w:rPr>
              <w:t>Mayor a 1 000 m2 hasta 9 000 m2: 112.20</w:t>
            </w:r>
          </w:p>
          <w:p w14:paraId="3432FC6C" w14:textId="31C47FC0" w:rsidR="00CB0697" w:rsidRPr="00CB0697" w:rsidRDefault="00CB0697" w:rsidP="00CB0697">
            <w:pPr>
              <w:rPr>
                <w:szCs w:val="20"/>
              </w:rPr>
            </w:pPr>
            <w:r w:rsidRPr="00CB0697">
              <w:rPr>
                <w:szCs w:val="20"/>
              </w:rPr>
              <w:t>Mayor a 9 000 m2: 180.60</w:t>
            </w:r>
          </w:p>
        </w:tc>
      </w:tr>
      <w:tr w:rsidR="00CB0697" w:rsidRPr="00CB0697" w14:paraId="3E0C0615" w14:textId="77777777" w:rsidTr="00CB0697">
        <w:tc>
          <w:tcPr>
            <w:tcW w:w="675" w:type="dxa"/>
          </w:tcPr>
          <w:p w14:paraId="75520E7C" w14:textId="77777777" w:rsidR="00CB0697" w:rsidRPr="00CB0697" w:rsidRDefault="00CB0697" w:rsidP="00CB0697">
            <w:pPr>
              <w:jc w:val="center"/>
              <w:rPr>
                <w:szCs w:val="20"/>
              </w:rPr>
            </w:pPr>
            <w:r w:rsidRPr="00CB0697">
              <w:rPr>
                <w:szCs w:val="20"/>
              </w:rPr>
              <w:t>9.3</w:t>
            </w:r>
          </w:p>
        </w:tc>
        <w:tc>
          <w:tcPr>
            <w:tcW w:w="2552" w:type="dxa"/>
          </w:tcPr>
          <w:p w14:paraId="6802AC12" w14:textId="77777777" w:rsidR="00CB0697" w:rsidRPr="00CB0697" w:rsidRDefault="00CB0697" w:rsidP="0000216C">
            <w:pPr>
              <w:rPr>
                <w:szCs w:val="20"/>
              </w:rPr>
            </w:pPr>
            <w:r w:rsidRPr="00CB0697">
              <w:rPr>
                <w:szCs w:val="20"/>
              </w:rPr>
              <w:t>Impresión de plano distrital</w:t>
            </w:r>
          </w:p>
        </w:tc>
        <w:tc>
          <w:tcPr>
            <w:tcW w:w="2551" w:type="dxa"/>
            <w:gridSpan w:val="2"/>
          </w:tcPr>
          <w:p w14:paraId="5A65C762" w14:textId="77777777" w:rsidR="00CB0697" w:rsidRDefault="00CB0697" w:rsidP="0000216C">
            <w:pPr>
              <w:rPr>
                <w:szCs w:val="20"/>
              </w:rPr>
            </w:pPr>
            <w:r w:rsidRPr="00CB0697">
              <w:rPr>
                <w:szCs w:val="20"/>
              </w:rPr>
              <w:t>1. Solicitud simple</w:t>
            </w:r>
          </w:p>
          <w:p w14:paraId="49902680" w14:textId="6CBB9357" w:rsidR="00CB0697" w:rsidRPr="00CB0697" w:rsidRDefault="00CB0697" w:rsidP="0000216C">
            <w:pPr>
              <w:rPr>
                <w:szCs w:val="20"/>
              </w:rPr>
            </w:pPr>
            <w:r w:rsidRPr="00CB0697">
              <w:rPr>
                <w:szCs w:val="20"/>
              </w:rPr>
              <w:t>2. Pago correspondiente al servicio</w:t>
            </w:r>
          </w:p>
        </w:tc>
        <w:tc>
          <w:tcPr>
            <w:tcW w:w="2866" w:type="dxa"/>
          </w:tcPr>
          <w:p w14:paraId="3A21CEEC" w14:textId="5D3BE66A" w:rsidR="00CB0697" w:rsidRPr="00CB0697" w:rsidRDefault="00CB0697" w:rsidP="00CB0697">
            <w:pPr>
              <w:jc w:val="center"/>
              <w:rPr>
                <w:szCs w:val="20"/>
              </w:rPr>
            </w:pPr>
            <w:r w:rsidRPr="00CB0697">
              <w:rPr>
                <w:szCs w:val="20"/>
              </w:rPr>
              <w:t>18.50</w:t>
            </w:r>
          </w:p>
        </w:tc>
      </w:tr>
      <w:tr w:rsidR="00CB0697" w:rsidRPr="00CB0697" w14:paraId="5FC04D70" w14:textId="77777777" w:rsidTr="00CB0697">
        <w:tc>
          <w:tcPr>
            <w:tcW w:w="675" w:type="dxa"/>
          </w:tcPr>
          <w:p w14:paraId="26980C5C" w14:textId="77777777" w:rsidR="00CB0697" w:rsidRPr="00CB0697" w:rsidRDefault="00CB0697" w:rsidP="00CB0697">
            <w:pPr>
              <w:jc w:val="center"/>
              <w:rPr>
                <w:szCs w:val="20"/>
              </w:rPr>
            </w:pPr>
            <w:r w:rsidRPr="00CB0697">
              <w:rPr>
                <w:szCs w:val="20"/>
              </w:rPr>
              <w:t>9.4</w:t>
            </w:r>
          </w:p>
        </w:tc>
        <w:tc>
          <w:tcPr>
            <w:tcW w:w="2552" w:type="dxa"/>
          </w:tcPr>
          <w:p w14:paraId="321EF286" w14:textId="77777777" w:rsidR="00CB0697" w:rsidRPr="00CB0697" w:rsidRDefault="00CB0697" w:rsidP="0000216C">
            <w:pPr>
              <w:rPr>
                <w:szCs w:val="20"/>
              </w:rPr>
            </w:pPr>
            <w:r w:rsidRPr="00CB0697">
              <w:rPr>
                <w:szCs w:val="20"/>
              </w:rPr>
              <w:t>Impresión de plano de zonificación</w:t>
            </w:r>
          </w:p>
        </w:tc>
        <w:tc>
          <w:tcPr>
            <w:tcW w:w="2551" w:type="dxa"/>
            <w:gridSpan w:val="2"/>
          </w:tcPr>
          <w:p w14:paraId="34E54EBC" w14:textId="77777777" w:rsidR="00CB0697" w:rsidRDefault="00CB0697" w:rsidP="0000216C">
            <w:pPr>
              <w:rPr>
                <w:szCs w:val="20"/>
              </w:rPr>
            </w:pPr>
            <w:r w:rsidRPr="00CB0697">
              <w:rPr>
                <w:szCs w:val="20"/>
              </w:rPr>
              <w:t>1. Solicitud simple</w:t>
            </w:r>
          </w:p>
          <w:p w14:paraId="684AD4FF" w14:textId="62964521" w:rsidR="00CB0697" w:rsidRPr="00CB0697" w:rsidRDefault="00CB0697" w:rsidP="0000216C">
            <w:pPr>
              <w:rPr>
                <w:szCs w:val="20"/>
              </w:rPr>
            </w:pPr>
            <w:r w:rsidRPr="00CB0697">
              <w:rPr>
                <w:szCs w:val="20"/>
              </w:rPr>
              <w:t>2. Pago correspondiente al servicio</w:t>
            </w:r>
          </w:p>
        </w:tc>
        <w:tc>
          <w:tcPr>
            <w:tcW w:w="2866" w:type="dxa"/>
          </w:tcPr>
          <w:p w14:paraId="19DA1E12" w14:textId="31C7BA77" w:rsidR="00CB0697" w:rsidRPr="00CB0697" w:rsidRDefault="00CB0697" w:rsidP="00CB0697">
            <w:pPr>
              <w:jc w:val="center"/>
              <w:rPr>
                <w:szCs w:val="20"/>
              </w:rPr>
            </w:pPr>
            <w:r w:rsidRPr="00CB0697">
              <w:rPr>
                <w:szCs w:val="20"/>
              </w:rPr>
              <w:t>19.10</w:t>
            </w:r>
          </w:p>
        </w:tc>
      </w:tr>
      <w:tr w:rsidR="00CB0697" w:rsidRPr="00CB0697" w14:paraId="1061180C" w14:textId="77777777" w:rsidTr="00CB0697">
        <w:tc>
          <w:tcPr>
            <w:tcW w:w="675" w:type="dxa"/>
          </w:tcPr>
          <w:p w14:paraId="02426177" w14:textId="77777777" w:rsidR="00CB0697" w:rsidRPr="00CB0697" w:rsidRDefault="00CB0697" w:rsidP="00CB0697">
            <w:pPr>
              <w:jc w:val="center"/>
              <w:rPr>
                <w:szCs w:val="20"/>
              </w:rPr>
            </w:pPr>
            <w:r w:rsidRPr="00CB0697">
              <w:rPr>
                <w:szCs w:val="20"/>
              </w:rPr>
              <w:t>9.5</w:t>
            </w:r>
          </w:p>
        </w:tc>
        <w:tc>
          <w:tcPr>
            <w:tcW w:w="2552" w:type="dxa"/>
          </w:tcPr>
          <w:p w14:paraId="47A1CB7A" w14:textId="77777777" w:rsidR="00CB0697" w:rsidRPr="00CB0697" w:rsidRDefault="00CB0697" w:rsidP="0000216C">
            <w:pPr>
              <w:rPr>
                <w:szCs w:val="20"/>
              </w:rPr>
            </w:pPr>
            <w:r w:rsidRPr="00CB0697">
              <w:rPr>
                <w:szCs w:val="20"/>
              </w:rPr>
              <w:t>Impresión de plano de parques</w:t>
            </w:r>
          </w:p>
        </w:tc>
        <w:tc>
          <w:tcPr>
            <w:tcW w:w="2551" w:type="dxa"/>
            <w:gridSpan w:val="2"/>
          </w:tcPr>
          <w:p w14:paraId="56492E09" w14:textId="77777777" w:rsidR="00CB0697" w:rsidRDefault="00CB0697" w:rsidP="0000216C">
            <w:pPr>
              <w:rPr>
                <w:szCs w:val="20"/>
              </w:rPr>
            </w:pPr>
            <w:r w:rsidRPr="00CB0697">
              <w:rPr>
                <w:szCs w:val="20"/>
              </w:rPr>
              <w:t>1. Solicitud simple</w:t>
            </w:r>
          </w:p>
          <w:p w14:paraId="2507D879" w14:textId="502AD241" w:rsidR="00CB0697" w:rsidRPr="00CB0697" w:rsidRDefault="00CB0697" w:rsidP="0000216C">
            <w:pPr>
              <w:rPr>
                <w:szCs w:val="20"/>
              </w:rPr>
            </w:pPr>
            <w:r w:rsidRPr="00CB0697">
              <w:rPr>
                <w:szCs w:val="20"/>
              </w:rPr>
              <w:t>2. Pago correspondiente al servicio</w:t>
            </w:r>
          </w:p>
        </w:tc>
        <w:tc>
          <w:tcPr>
            <w:tcW w:w="2866" w:type="dxa"/>
          </w:tcPr>
          <w:p w14:paraId="39085992" w14:textId="665A83AB" w:rsidR="00CB0697" w:rsidRPr="00CB0697" w:rsidRDefault="00CB0697" w:rsidP="00CB0697">
            <w:pPr>
              <w:jc w:val="center"/>
              <w:rPr>
                <w:szCs w:val="20"/>
              </w:rPr>
            </w:pPr>
            <w:r w:rsidRPr="00CB0697">
              <w:rPr>
                <w:szCs w:val="20"/>
              </w:rPr>
              <w:t>19.50</w:t>
            </w:r>
          </w:p>
        </w:tc>
      </w:tr>
      <w:tr w:rsidR="00CB0697" w:rsidRPr="00CB0697" w14:paraId="2BFA46CB" w14:textId="77777777" w:rsidTr="00CB0697">
        <w:tc>
          <w:tcPr>
            <w:tcW w:w="675" w:type="dxa"/>
          </w:tcPr>
          <w:p w14:paraId="15EF360F" w14:textId="77777777" w:rsidR="00CB0697" w:rsidRPr="00CB0697" w:rsidRDefault="00CB0697" w:rsidP="00CB0697">
            <w:pPr>
              <w:jc w:val="center"/>
              <w:rPr>
                <w:szCs w:val="20"/>
              </w:rPr>
            </w:pPr>
            <w:r w:rsidRPr="00CB0697">
              <w:rPr>
                <w:szCs w:val="20"/>
              </w:rPr>
              <w:t>9.6</w:t>
            </w:r>
          </w:p>
        </w:tc>
        <w:tc>
          <w:tcPr>
            <w:tcW w:w="2552" w:type="dxa"/>
          </w:tcPr>
          <w:p w14:paraId="14F98A7C" w14:textId="77777777" w:rsidR="00CB0697" w:rsidRPr="00CB0697" w:rsidRDefault="00CB0697" w:rsidP="0000216C">
            <w:pPr>
              <w:rPr>
                <w:szCs w:val="20"/>
              </w:rPr>
            </w:pPr>
            <w:r w:rsidRPr="00CB0697">
              <w:rPr>
                <w:szCs w:val="20"/>
              </w:rPr>
              <w:t>Impresión de plano de lote por manzana</w:t>
            </w:r>
          </w:p>
        </w:tc>
        <w:tc>
          <w:tcPr>
            <w:tcW w:w="2551" w:type="dxa"/>
            <w:gridSpan w:val="2"/>
          </w:tcPr>
          <w:p w14:paraId="397A2B1C" w14:textId="77777777" w:rsidR="00CB0697" w:rsidRDefault="00CB0697" w:rsidP="0000216C">
            <w:pPr>
              <w:rPr>
                <w:szCs w:val="20"/>
              </w:rPr>
            </w:pPr>
            <w:r w:rsidRPr="00CB0697">
              <w:rPr>
                <w:szCs w:val="20"/>
              </w:rPr>
              <w:t>1. Solicitud simple</w:t>
            </w:r>
          </w:p>
          <w:p w14:paraId="444270E4" w14:textId="5A3536DD" w:rsidR="00CB0697" w:rsidRPr="00CB0697" w:rsidRDefault="00CB0697" w:rsidP="0000216C">
            <w:pPr>
              <w:rPr>
                <w:szCs w:val="20"/>
              </w:rPr>
            </w:pPr>
            <w:r w:rsidRPr="00CB0697">
              <w:rPr>
                <w:szCs w:val="20"/>
              </w:rPr>
              <w:t>2. Pago correspondiente al servicio</w:t>
            </w:r>
          </w:p>
        </w:tc>
        <w:tc>
          <w:tcPr>
            <w:tcW w:w="2866" w:type="dxa"/>
          </w:tcPr>
          <w:p w14:paraId="43F1BD5C" w14:textId="39E37141" w:rsidR="00CB0697" w:rsidRPr="00CB0697" w:rsidRDefault="00CB0697" w:rsidP="00CB0697">
            <w:pPr>
              <w:jc w:val="center"/>
              <w:rPr>
                <w:szCs w:val="20"/>
              </w:rPr>
            </w:pPr>
            <w:r w:rsidRPr="00CB0697">
              <w:rPr>
                <w:szCs w:val="20"/>
              </w:rPr>
              <w:t>39.70</w:t>
            </w:r>
          </w:p>
        </w:tc>
      </w:tr>
      <w:tr w:rsidR="00CB0697" w:rsidRPr="00CB0697" w14:paraId="7BD3C9F1" w14:textId="77777777" w:rsidTr="00CB0697">
        <w:tc>
          <w:tcPr>
            <w:tcW w:w="675" w:type="dxa"/>
          </w:tcPr>
          <w:p w14:paraId="3F1F1F83" w14:textId="77777777" w:rsidR="00CB0697" w:rsidRPr="00CB0697" w:rsidRDefault="00CB0697" w:rsidP="00CB0697">
            <w:pPr>
              <w:jc w:val="center"/>
              <w:rPr>
                <w:szCs w:val="20"/>
              </w:rPr>
            </w:pPr>
            <w:r w:rsidRPr="00CB0697">
              <w:rPr>
                <w:szCs w:val="20"/>
              </w:rPr>
              <w:t>9.7</w:t>
            </w:r>
          </w:p>
        </w:tc>
        <w:tc>
          <w:tcPr>
            <w:tcW w:w="2552" w:type="dxa"/>
          </w:tcPr>
          <w:p w14:paraId="2808CC84" w14:textId="77777777" w:rsidR="00CB0697" w:rsidRPr="00CB0697" w:rsidRDefault="00CB0697" w:rsidP="0000216C">
            <w:pPr>
              <w:rPr>
                <w:szCs w:val="20"/>
              </w:rPr>
            </w:pPr>
            <w:r w:rsidRPr="00CB0697">
              <w:rPr>
                <w:szCs w:val="20"/>
              </w:rPr>
              <w:t>Pintado y/o mantenimiento de elementos de seguridad instalados por terceros (m2)</w:t>
            </w:r>
          </w:p>
        </w:tc>
        <w:tc>
          <w:tcPr>
            <w:tcW w:w="2551" w:type="dxa"/>
            <w:gridSpan w:val="2"/>
          </w:tcPr>
          <w:p w14:paraId="657C9936" w14:textId="77777777" w:rsidR="00CB0697" w:rsidRDefault="00CB0697" w:rsidP="0000216C">
            <w:pPr>
              <w:rPr>
                <w:szCs w:val="20"/>
              </w:rPr>
            </w:pPr>
            <w:r w:rsidRPr="00CB0697">
              <w:rPr>
                <w:szCs w:val="20"/>
              </w:rPr>
              <w:t>1. Solicitud simple</w:t>
            </w:r>
          </w:p>
          <w:p w14:paraId="749ABB51" w14:textId="401BAA9F" w:rsidR="00CB0697" w:rsidRPr="00CB0697" w:rsidRDefault="00CB0697" w:rsidP="0000216C">
            <w:pPr>
              <w:rPr>
                <w:szCs w:val="20"/>
              </w:rPr>
            </w:pPr>
            <w:r w:rsidRPr="00CB0697">
              <w:rPr>
                <w:szCs w:val="20"/>
              </w:rPr>
              <w:t>2. Pago correspondiente al servicio</w:t>
            </w:r>
          </w:p>
        </w:tc>
        <w:tc>
          <w:tcPr>
            <w:tcW w:w="2866" w:type="dxa"/>
          </w:tcPr>
          <w:p w14:paraId="6F110AAF" w14:textId="4EFD01CE" w:rsidR="00CB0697" w:rsidRPr="00CB0697" w:rsidRDefault="00CB0697" w:rsidP="00CB0697">
            <w:pPr>
              <w:jc w:val="center"/>
              <w:rPr>
                <w:szCs w:val="20"/>
              </w:rPr>
            </w:pPr>
            <w:r w:rsidRPr="00CB0697">
              <w:rPr>
                <w:szCs w:val="20"/>
              </w:rPr>
              <w:t>137.20</w:t>
            </w:r>
          </w:p>
        </w:tc>
      </w:tr>
      <w:tr w:rsidR="00CB0697" w:rsidRPr="00CB0697" w14:paraId="49CA4745" w14:textId="77777777" w:rsidTr="00CB0697">
        <w:tc>
          <w:tcPr>
            <w:tcW w:w="675" w:type="dxa"/>
          </w:tcPr>
          <w:p w14:paraId="0A34A433" w14:textId="77777777" w:rsidR="00CB0697" w:rsidRPr="00CB0697" w:rsidRDefault="00CB0697" w:rsidP="00CB0697">
            <w:pPr>
              <w:jc w:val="center"/>
              <w:rPr>
                <w:szCs w:val="20"/>
              </w:rPr>
            </w:pPr>
            <w:r w:rsidRPr="00CB0697">
              <w:rPr>
                <w:szCs w:val="20"/>
              </w:rPr>
              <w:t>9.8</w:t>
            </w:r>
          </w:p>
        </w:tc>
        <w:tc>
          <w:tcPr>
            <w:tcW w:w="2552" w:type="dxa"/>
          </w:tcPr>
          <w:p w14:paraId="208BDD18" w14:textId="77777777" w:rsidR="00CB0697" w:rsidRPr="00CB0697" w:rsidRDefault="00CB0697" w:rsidP="0000216C">
            <w:pPr>
              <w:rPr>
                <w:szCs w:val="20"/>
              </w:rPr>
            </w:pPr>
            <w:r w:rsidRPr="00CB0697">
              <w:rPr>
                <w:szCs w:val="20"/>
              </w:rPr>
              <w:t>Tasación inmobiliaria</w:t>
            </w:r>
          </w:p>
        </w:tc>
        <w:tc>
          <w:tcPr>
            <w:tcW w:w="2551" w:type="dxa"/>
            <w:gridSpan w:val="2"/>
          </w:tcPr>
          <w:p w14:paraId="5B3B1C6B" w14:textId="77777777" w:rsidR="00CB0697" w:rsidRDefault="00CB0697" w:rsidP="0000216C">
            <w:pPr>
              <w:rPr>
                <w:szCs w:val="20"/>
              </w:rPr>
            </w:pPr>
            <w:r w:rsidRPr="00CB0697">
              <w:rPr>
                <w:szCs w:val="20"/>
              </w:rPr>
              <w:t>1. Solicitud simple</w:t>
            </w:r>
          </w:p>
          <w:p w14:paraId="30ADADC6" w14:textId="739BBEC3" w:rsidR="00CB0697" w:rsidRPr="00CB0697" w:rsidRDefault="00CB0697" w:rsidP="0000216C">
            <w:pPr>
              <w:rPr>
                <w:szCs w:val="20"/>
              </w:rPr>
            </w:pPr>
            <w:r w:rsidRPr="00CB0697">
              <w:rPr>
                <w:szCs w:val="20"/>
              </w:rPr>
              <w:t>2. Pago correspondiente al servicio</w:t>
            </w:r>
          </w:p>
        </w:tc>
        <w:tc>
          <w:tcPr>
            <w:tcW w:w="2866" w:type="dxa"/>
          </w:tcPr>
          <w:p w14:paraId="11F0466C" w14:textId="6D5B14C0" w:rsidR="00CB0697" w:rsidRPr="00CB0697" w:rsidRDefault="00CB0697" w:rsidP="00CB0697">
            <w:pPr>
              <w:jc w:val="center"/>
              <w:rPr>
                <w:szCs w:val="20"/>
              </w:rPr>
            </w:pPr>
            <w:r w:rsidRPr="00CB0697">
              <w:rPr>
                <w:szCs w:val="20"/>
              </w:rPr>
              <w:t>103.30</w:t>
            </w:r>
          </w:p>
        </w:tc>
      </w:tr>
    </w:tbl>
    <w:p w14:paraId="033EAB79" w14:textId="1225CBE1" w:rsidR="00AE0099" w:rsidRPr="00AE0099" w:rsidRDefault="00AE0099" w:rsidP="00130FEC">
      <w:pPr>
        <w:spacing w:before="120"/>
        <w:rPr>
          <w:sz w:val="24"/>
        </w:rPr>
      </w:pPr>
      <w:r w:rsidRPr="00AE0099">
        <w:rPr>
          <w:sz w:val="24"/>
        </w:rPr>
        <w:t xml:space="preserve">Artículo Segundo.- Encargar a la Secretaría General la publicación de la presente resolución en el Diario Oficial </w:t>
      </w:r>
      <w:r w:rsidR="00EC1F75">
        <w:rPr>
          <w:sz w:val="24"/>
        </w:rPr>
        <w:t>"</w:t>
      </w:r>
      <w:r w:rsidRPr="00AE0099">
        <w:rPr>
          <w:sz w:val="24"/>
        </w:rPr>
        <w:t>El Peruano</w:t>
      </w:r>
      <w:r w:rsidR="00EC1F75">
        <w:rPr>
          <w:sz w:val="24"/>
        </w:rPr>
        <w:t>"</w:t>
      </w:r>
      <w:r w:rsidRPr="00AE0099">
        <w:rPr>
          <w:sz w:val="24"/>
        </w:rPr>
        <w:t xml:space="preserve"> y a la Gerencia de Tecnología de la Información la publicación de la presente Resolución en el Portal de Transparencia Estándar de la Municipalidad de Pueblo Libre.</w:t>
      </w:r>
    </w:p>
    <w:p w14:paraId="7102B9BC" w14:textId="77777777" w:rsidR="00AE0099" w:rsidRPr="00AE0099" w:rsidRDefault="00AE0099" w:rsidP="00130FEC">
      <w:pPr>
        <w:spacing w:before="120"/>
        <w:rPr>
          <w:sz w:val="24"/>
        </w:rPr>
      </w:pPr>
      <w:r w:rsidRPr="00AE0099">
        <w:rPr>
          <w:sz w:val="24"/>
        </w:rPr>
        <w:t>Regístrese, comuníquese y cúmplase.</w:t>
      </w:r>
    </w:p>
    <w:p w14:paraId="572D81A9" w14:textId="151AA40D" w:rsidR="00AE0099" w:rsidRPr="00AE0099" w:rsidRDefault="00AE0099" w:rsidP="00130FEC">
      <w:pPr>
        <w:spacing w:before="120"/>
        <w:rPr>
          <w:sz w:val="24"/>
        </w:rPr>
      </w:pPr>
      <w:r w:rsidRPr="00AE0099">
        <w:rPr>
          <w:sz w:val="24"/>
        </w:rPr>
        <w:t>Monica Rossana Tello López</w:t>
      </w:r>
    </w:p>
    <w:p w14:paraId="6FAFEDE7" w14:textId="77777777" w:rsidR="00AE0099" w:rsidRPr="00AE0099" w:rsidRDefault="00AE0099" w:rsidP="00130FEC">
      <w:pPr>
        <w:spacing w:before="120"/>
        <w:rPr>
          <w:sz w:val="24"/>
        </w:rPr>
      </w:pPr>
      <w:r w:rsidRPr="00AE0099">
        <w:rPr>
          <w:sz w:val="24"/>
        </w:rPr>
        <w:t>Alcaldesa</w:t>
      </w:r>
    </w:p>
    <w:p w14:paraId="6FBE7688" w14:textId="349CA800" w:rsidR="00AE0099" w:rsidRPr="00AE0099" w:rsidRDefault="00AE0099" w:rsidP="00130FEC">
      <w:pPr>
        <w:spacing w:before="120"/>
        <w:rPr>
          <w:sz w:val="24"/>
        </w:rPr>
      </w:pPr>
      <w:r w:rsidRPr="00AE0099">
        <w:rPr>
          <w:sz w:val="24"/>
        </w:rPr>
        <w:t>Yesabell Melina Ostos Rojas</w:t>
      </w:r>
    </w:p>
    <w:p w14:paraId="793722E8" w14:textId="189173A6" w:rsidR="00AE0099" w:rsidRDefault="00AE0099" w:rsidP="00130FEC">
      <w:pPr>
        <w:spacing w:before="120"/>
      </w:pPr>
      <w:r w:rsidRPr="00AE0099">
        <w:rPr>
          <w:sz w:val="24"/>
        </w:rPr>
        <w:t>Secretaria General</w:t>
      </w:r>
    </w:p>
    <w:p w14:paraId="3344ECC4" w14:textId="2E9DA2C1" w:rsidR="00AE0099" w:rsidRDefault="00AE0099" w:rsidP="00130FEC">
      <w:pPr>
        <w:spacing w:before="120"/>
        <w:jc w:val="center"/>
      </w:pPr>
      <w:r w:rsidRPr="00AE0099">
        <w:t xml:space="preserve">Documento publicado en el Diario Oficial </w:t>
      </w:r>
      <w:r w:rsidR="00130FEC">
        <w:t>"</w:t>
      </w:r>
      <w:r w:rsidRPr="00AE0099">
        <w:t>El Peruano</w:t>
      </w:r>
      <w:r w:rsidR="00130FEC">
        <w:t>"</w:t>
      </w:r>
      <w:r w:rsidRPr="00AE0099">
        <w:t xml:space="preserve"> el 29 de octubre del 2025.</w:t>
      </w:r>
    </w:p>
    <w:sectPr w:rsidR="00AE009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956EA" w14:textId="77777777" w:rsidR="00254A97" w:rsidRDefault="00254A97" w:rsidP="00AE0099">
      <w:r>
        <w:separator/>
      </w:r>
    </w:p>
  </w:endnote>
  <w:endnote w:type="continuationSeparator" w:id="0">
    <w:p w14:paraId="2B32EDFC" w14:textId="77777777" w:rsidR="00254A97" w:rsidRDefault="00254A97" w:rsidP="00AE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DFEF9" w14:textId="29C30A2F" w:rsidR="00AE0099" w:rsidRPr="00130FEC" w:rsidRDefault="00AE0099" w:rsidP="00130FEC">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0AD05D0B" wp14:editId="023A0B7E">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BB8C4" w14:textId="77777777" w:rsidR="00254A97" w:rsidRDefault="00254A97" w:rsidP="00AE0099">
      <w:r>
        <w:separator/>
      </w:r>
    </w:p>
  </w:footnote>
  <w:footnote w:type="continuationSeparator" w:id="0">
    <w:p w14:paraId="3DD06EB3" w14:textId="77777777" w:rsidR="00254A97" w:rsidRDefault="00254A97" w:rsidP="00AE0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22DE3" w14:textId="0419528F" w:rsidR="00AE0099" w:rsidRDefault="00AE0099" w:rsidP="00130FEC">
    <w:pPr>
      <w:pStyle w:val="Encabezado"/>
      <w:spacing w:after="240"/>
    </w:pPr>
    <w:r>
      <w:rPr>
        <w:noProof/>
        <w:lang w:eastAsia="es-PE"/>
      </w:rPr>
      <w:drawing>
        <wp:inline distT="0" distB="0" distL="0" distR="0" wp14:anchorId="3DEF6271" wp14:editId="4A88FB31">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99"/>
    <w:rsid w:val="0002405D"/>
    <w:rsid w:val="000526BE"/>
    <w:rsid w:val="00096CEC"/>
    <w:rsid w:val="00130FEC"/>
    <w:rsid w:val="00133291"/>
    <w:rsid w:val="002017D0"/>
    <w:rsid w:val="00254A97"/>
    <w:rsid w:val="00580259"/>
    <w:rsid w:val="00615327"/>
    <w:rsid w:val="00747159"/>
    <w:rsid w:val="007F0EA7"/>
    <w:rsid w:val="007F33DC"/>
    <w:rsid w:val="008066EB"/>
    <w:rsid w:val="008F2267"/>
    <w:rsid w:val="00AA3083"/>
    <w:rsid w:val="00AE0099"/>
    <w:rsid w:val="00BB3261"/>
    <w:rsid w:val="00C32D53"/>
    <w:rsid w:val="00CB0697"/>
    <w:rsid w:val="00D361DE"/>
    <w:rsid w:val="00EC1F75"/>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AE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0099"/>
    <w:pPr>
      <w:tabs>
        <w:tab w:val="center" w:pos="4252"/>
        <w:tab w:val="right" w:pos="8504"/>
      </w:tabs>
    </w:pPr>
  </w:style>
  <w:style w:type="character" w:customStyle="1" w:styleId="EncabezadoCar">
    <w:name w:val="Encabezado Car"/>
    <w:basedOn w:val="Fuentedeprrafopredeter"/>
    <w:link w:val="Encabezado"/>
    <w:uiPriority w:val="99"/>
    <w:rsid w:val="00AE0099"/>
    <w:rPr>
      <w:rFonts w:ascii="Arial" w:hAnsi="Arial"/>
      <w:sz w:val="20"/>
    </w:rPr>
  </w:style>
  <w:style w:type="paragraph" w:styleId="Piedepgina">
    <w:name w:val="footer"/>
    <w:basedOn w:val="Normal"/>
    <w:link w:val="PiedepginaCar"/>
    <w:uiPriority w:val="99"/>
    <w:unhideWhenUsed/>
    <w:rsid w:val="00AE0099"/>
    <w:pPr>
      <w:tabs>
        <w:tab w:val="center" w:pos="4252"/>
        <w:tab w:val="right" w:pos="8504"/>
      </w:tabs>
    </w:pPr>
  </w:style>
  <w:style w:type="character" w:customStyle="1" w:styleId="PiedepginaCar">
    <w:name w:val="Pie de página Car"/>
    <w:basedOn w:val="Fuentedeprrafopredeter"/>
    <w:link w:val="Piedepgina"/>
    <w:uiPriority w:val="99"/>
    <w:rsid w:val="00AE0099"/>
    <w:rPr>
      <w:rFonts w:ascii="Arial" w:hAnsi="Arial"/>
      <w:sz w:val="20"/>
    </w:rPr>
  </w:style>
  <w:style w:type="paragraph" w:styleId="Textodeglobo">
    <w:name w:val="Balloon Text"/>
    <w:basedOn w:val="Normal"/>
    <w:link w:val="TextodegloboCar"/>
    <w:uiPriority w:val="99"/>
    <w:semiHidden/>
    <w:unhideWhenUsed/>
    <w:rsid w:val="00130FEC"/>
    <w:rPr>
      <w:rFonts w:ascii="Tahoma" w:hAnsi="Tahoma" w:cs="Tahoma"/>
      <w:sz w:val="16"/>
      <w:szCs w:val="16"/>
    </w:rPr>
  </w:style>
  <w:style w:type="character" w:customStyle="1" w:styleId="TextodegloboCar">
    <w:name w:val="Texto de globo Car"/>
    <w:basedOn w:val="Fuentedeprrafopredeter"/>
    <w:link w:val="Textodeglobo"/>
    <w:uiPriority w:val="99"/>
    <w:semiHidden/>
    <w:rsid w:val="00130FEC"/>
    <w:rPr>
      <w:rFonts w:ascii="Tahoma" w:hAnsi="Tahoma" w:cs="Tahoma"/>
      <w:sz w:val="16"/>
      <w:szCs w:val="16"/>
    </w:rPr>
  </w:style>
  <w:style w:type="paragraph" w:styleId="Prrafodelista">
    <w:name w:val="List Paragraph"/>
    <w:basedOn w:val="Normal"/>
    <w:uiPriority w:val="34"/>
    <w:qFormat/>
    <w:rsid w:val="00CB06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AE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0099"/>
    <w:pPr>
      <w:tabs>
        <w:tab w:val="center" w:pos="4252"/>
        <w:tab w:val="right" w:pos="8504"/>
      </w:tabs>
    </w:pPr>
  </w:style>
  <w:style w:type="character" w:customStyle="1" w:styleId="EncabezadoCar">
    <w:name w:val="Encabezado Car"/>
    <w:basedOn w:val="Fuentedeprrafopredeter"/>
    <w:link w:val="Encabezado"/>
    <w:uiPriority w:val="99"/>
    <w:rsid w:val="00AE0099"/>
    <w:rPr>
      <w:rFonts w:ascii="Arial" w:hAnsi="Arial"/>
      <w:sz w:val="20"/>
    </w:rPr>
  </w:style>
  <w:style w:type="paragraph" w:styleId="Piedepgina">
    <w:name w:val="footer"/>
    <w:basedOn w:val="Normal"/>
    <w:link w:val="PiedepginaCar"/>
    <w:uiPriority w:val="99"/>
    <w:unhideWhenUsed/>
    <w:rsid w:val="00AE0099"/>
    <w:pPr>
      <w:tabs>
        <w:tab w:val="center" w:pos="4252"/>
        <w:tab w:val="right" w:pos="8504"/>
      </w:tabs>
    </w:pPr>
  </w:style>
  <w:style w:type="character" w:customStyle="1" w:styleId="PiedepginaCar">
    <w:name w:val="Pie de página Car"/>
    <w:basedOn w:val="Fuentedeprrafopredeter"/>
    <w:link w:val="Piedepgina"/>
    <w:uiPriority w:val="99"/>
    <w:rsid w:val="00AE0099"/>
    <w:rPr>
      <w:rFonts w:ascii="Arial" w:hAnsi="Arial"/>
      <w:sz w:val="20"/>
    </w:rPr>
  </w:style>
  <w:style w:type="paragraph" w:styleId="Textodeglobo">
    <w:name w:val="Balloon Text"/>
    <w:basedOn w:val="Normal"/>
    <w:link w:val="TextodegloboCar"/>
    <w:uiPriority w:val="99"/>
    <w:semiHidden/>
    <w:unhideWhenUsed/>
    <w:rsid w:val="00130FEC"/>
    <w:rPr>
      <w:rFonts w:ascii="Tahoma" w:hAnsi="Tahoma" w:cs="Tahoma"/>
      <w:sz w:val="16"/>
      <w:szCs w:val="16"/>
    </w:rPr>
  </w:style>
  <w:style w:type="character" w:customStyle="1" w:styleId="TextodegloboCar">
    <w:name w:val="Texto de globo Car"/>
    <w:basedOn w:val="Fuentedeprrafopredeter"/>
    <w:link w:val="Textodeglobo"/>
    <w:uiPriority w:val="99"/>
    <w:semiHidden/>
    <w:rsid w:val="00130FEC"/>
    <w:rPr>
      <w:rFonts w:ascii="Tahoma" w:hAnsi="Tahoma" w:cs="Tahoma"/>
      <w:sz w:val="16"/>
      <w:szCs w:val="16"/>
    </w:rPr>
  </w:style>
  <w:style w:type="paragraph" w:styleId="Prrafodelista">
    <w:name w:val="List Paragraph"/>
    <w:basedOn w:val="Normal"/>
    <w:uiPriority w:val="34"/>
    <w:qFormat/>
    <w:rsid w:val="00CB0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1209</Words>
  <Characters>6651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2025-10-29T14:36:00Z</dcterms:created>
  <dcterms:modified xsi:type="dcterms:W3CDTF">2025-10-29T21:55:00Z</dcterms:modified>
</cp:coreProperties>
</file>