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5E2C6" w14:textId="35CD49E5" w:rsidR="00D3111D" w:rsidRPr="001072C6" w:rsidRDefault="00D3111D" w:rsidP="003554A9">
      <w:pPr>
        <w:spacing w:before="120"/>
        <w:jc w:val="center"/>
        <w:rPr>
          <w:rFonts w:cs="Arial"/>
          <w:b/>
          <w:bCs/>
          <w:sz w:val="24"/>
          <w:szCs w:val="24"/>
        </w:rPr>
      </w:pPr>
      <w:bookmarkStart w:id="0" w:name="_GoBack"/>
      <w:bookmarkEnd w:id="0"/>
      <w:r w:rsidRPr="001072C6">
        <w:rPr>
          <w:rFonts w:cs="Arial"/>
          <w:b/>
          <w:bCs/>
          <w:sz w:val="24"/>
          <w:szCs w:val="24"/>
        </w:rPr>
        <w:t>Tribunal Fiscal N.° 00833-1-2017</w:t>
      </w:r>
    </w:p>
    <w:p w14:paraId="0C7992AE" w14:textId="400F1B93" w:rsidR="00D3111D" w:rsidRPr="001072C6" w:rsidRDefault="00D3111D" w:rsidP="003554A9">
      <w:pPr>
        <w:spacing w:before="120"/>
        <w:rPr>
          <w:rFonts w:cs="Arial"/>
          <w:b/>
          <w:bCs/>
          <w:sz w:val="24"/>
          <w:szCs w:val="24"/>
        </w:rPr>
      </w:pPr>
      <w:r w:rsidRPr="001072C6">
        <w:rPr>
          <w:rFonts w:cs="Arial"/>
          <w:b/>
          <w:bCs/>
          <w:sz w:val="24"/>
          <w:szCs w:val="24"/>
        </w:rPr>
        <w:t xml:space="preserve">Expediente N.°: </w:t>
      </w:r>
      <w:r w:rsidRPr="001072C6">
        <w:rPr>
          <w:rFonts w:cs="Arial"/>
          <w:sz w:val="24"/>
          <w:szCs w:val="24"/>
        </w:rPr>
        <w:t>1285-2014</w:t>
      </w:r>
    </w:p>
    <w:p w14:paraId="7283CA48" w14:textId="1EA1B8F0" w:rsidR="00D3111D" w:rsidRPr="001072C6" w:rsidRDefault="00D3111D" w:rsidP="003554A9">
      <w:pPr>
        <w:spacing w:before="120"/>
        <w:rPr>
          <w:rFonts w:cs="Arial"/>
          <w:b/>
          <w:bCs/>
          <w:sz w:val="24"/>
          <w:szCs w:val="24"/>
        </w:rPr>
      </w:pPr>
      <w:r w:rsidRPr="001072C6">
        <w:rPr>
          <w:rFonts w:cs="Arial"/>
          <w:b/>
          <w:bCs/>
          <w:sz w:val="24"/>
          <w:szCs w:val="24"/>
        </w:rPr>
        <w:t>Interesado:</w:t>
      </w:r>
    </w:p>
    <w:p w14:paraId="0A05AFB5" w14:textId="3592E657" w:rsidR="00D3111D" w:rsidRPr="001072C6" w:rsidRDefault="00D3111D" w:rsidP="003554A9">
      <w:pPr>
        <w:spacing w:before="120"/>
        <w:rPr>
          <w:rFonts w:cs="Arial"/>
          <w:b/>
          <w:bCs/>
          <w:sz w:val="24"/>
          <w:szCs w:val="24"/>
        </w:rPr>
      </w:pPr>
      <w:r w:rsidRPr="001072C6">
        <w:rPr>
          <w:rFonts w:cs="Arial"/>
          <w:b/>
          <w:bCs/>
          <w:sz w:val="24"/>
          <w:szCs w:val="24"/>
        </w:rPr>
        <w:t xml:space="preserve">Asunto: </w:t>
      </w:r>
      <w:r w:rsidRPr="001072C6">
        <w:rPr>
          <w:rFonts w:cs="Arial"/>
          <w:sz w:val="24"/>
          <w:szCs w:val="24"/>
        </w:rPr>
        <w:t>Multa</w:t>
      </w:r>
    </w:p>
    <w:p w14:paraId="3509DA1C" w14:textId="13E47807" w:rsidR="00D3111D" w:rsidRPr="001072C6" w:rsidRDefault="00D3111D" w:rsidP="003554A9">
      <w:pPr>
        <w:spacing w:before="120"/>
        <w:rPr>
          <w:rFonts w:cs="Arial"/>
          <w:b/>
          <w:bCs/>
          <w:sz w:val="24"/>
          <w:szCs w:val="24"/>
        </w:rPr>
      </w:pPr>
      <w:r w:rsidRPr="001072C6">
        <w:rPr>
          <w:rFonts w:cs="Arial"/>
          <w:b/>
          <w:bCs/>
          <w:sz w:val="24"/>
          <w:szCs w:val="24"/>
        </w:rPr>
        <w:t xml:space="preserve">Procedencia: </w:t>
      </w:r>
      <w:r w:rsidRPr="001072C6">
        <w:rPr>
          <w:rFonts w:cs="Arial"/>
          <w:sz w:val="24"/>
          <w:szCs w:val="24"/>
        </w:rPr>
        <w:t>Lima</w:t>
      </w:r>
    </w:p>
    <w:p w14:paraId="1F0F1B3F" w14:textId="774F9C83" w:rsidR="00D3111D" w:rsidRPr="001072C6" w:rsidRDefault="00D3111D" w:rsidP="003554A9">
      <w:pPr>
        <w:spacing w:before="120"/>
        <w:rPr>
          <w:rFonts w:cs="Arial"/>
          <w:sz w:val="24"/>
          <w:szCs w:val="24"/>
        </w:rPr>
      </w:pPr>
      <w:r w:rsidRPr="001072C6">
        <w:rPr>
          <w:rFonts w:cs="Arial"/>
          <w:b/>
          <w:bCs/>
          <w:sz w:val="24"/>
          <w:szCs w:val="24"/>
        </w:rPr>
        <w:t xml:space="preserve">Fecha: </w:t>
      </w:r>
      <w:r w:rsidRPr="001072C6">
        <w:rPr>
          <w:rFonts w:cs="Arial"/>
          <w:sz w:val="24"/>
          <w:szCs w:val="24"/>
        </w:rPr>
        <w:t>Lima, 27 de enero del 2017</w:t>
      </w:r>
    </w:p>
    <w:p w14:paraId="1A5EBF63" w14:textId="7B9B7B4A" w:rsidR="00D3111D" w:rsidRPr="001072C6" w:rsidRDefault="003554A9" w:rsidP="003554A9">
      <w:pPr>
        <w:spacing w:before="120"/>
        <w:rPr>
          <w:rFonts w:cs="Arial"/>
          <w:sz w:val="24"/>
          <w:szCs w:val="24"/>
        </w:rPr>
      </w:pPr>
      <w:r w:rsidRPr="001072C6">
        <w:rPr>
          <w:rFonts w:cs="Arial"/>
          <w:b/>
          <w:bCs/>
          <w:sz w:val="24"/>
          <w:szCs w:val="24"/>
        </w:rPr>
        <w:t>Vista</w:t>
      </w:r>
      <w:r w:rsidRPr="001072C6">
        <w:rPr>
          <w:rFonts w:cs="Arial"/>
          <w:sz w:val="24"/>
          <w:szCs w:val="24"/>
        </w:rPr>
        <w:t xml:space="preserve"> </w:t>
      </w:r>
      <w:r w:rsidR="00D3111D" w:rsidRPr="001072C6">
        <w:rPr>
          <w:rFonts w:cs="Arial"/>
          <w:sz w:val="24"/>
          <w:szCs w:val="24"/>
        </w:rPr>
        <w:t>la apelación parcial interpuesta por (...) con RUC N.° (...) contra la Resolución de Intendencia N.° 0250140018081/Sunat de 31 de octubre del 2011, emitida por la Intendencia Regional Lima de la Superintendencia Nacional de Aduanas y de Administración Tributaria - Sunat, que declaró infundada la reclamación contra la Resolución de Multa N.° 022-002-0009454, girada por la comisión de la infracción tipificada en el numeral 1 del artículo 175 del Código Tributario.</w:t>
      </w:r>
    </w:p>
    <w:p w14:paraId="3FE0F309" w14:textId="5A270A6C" w:rsidR="00D3111D" w:rsidRPr="001072C6" w:rsidRDefault="00D3111D" w:rsidP="003554A9">
      <w:pPr>
        <w:spacing w:before="120"/>
        <w:rPr>
          <w:rFonts w:cs="Arial"/>
          <w:b/>
          <w:bCs/>
          <w:sz w:val="24"/>
          <w:szCs w:val="24"/>
        </w:rPr>
      </w:pPr>
      <w:r w:rsidRPr="001072C6">
        <w:rPr>
          <w:rFonts w:cs="Arial"/>
          <w:b/>
          <w:bCs/>
          <w:sz w:val="24"/>
          <w:szCs w:val="24"/>
        </w:rPr>
        <w:t>Considerando:</w:t>
      </w:r>
    </w:p>
    <w:p w14:paraId="33D87158" w14:textId="3058A702" w:rsidR="00D3111D" w:rsidRPr="001072C6" w:rsidRDefault="00D3111D" w:rsidP="003554A9">
      <w:pPr>
        <w:spacing w:before="120"/>
        <w:rPr>
          <w:rFonts w:cs="Arial"/>
          <w:sz w:val="24"/>
          <w:szCs w:val="24"/>
        </w:rPr>
      </w:pPr>
      <w:r w:rsidRPr="001072C6">
        <w:rPr>
          <w:rFonts w:cs="Arial"/>
          <w:sz w:val="24"/>
          <w:szCs w:val="24"/>
        </w:rPr>
        <w:t>Que la recurrente sostiene que toda vez que su actividad es la prestación de servicios de construcción, la cual no implica la existencia de un proceso productivo, ni tampoco entradas y salidas de bienes hacia un tercero, no se encuentra obligado a tener un inventario y/o sistema de contabilidad de costos de acuerdo a lo establecido en el artículo 35 del Reglamento de la Ley del Impuesto a la Renta, siendo que en el supuesto negado que le resultara exigible lo dispuesto por el citado artículo, dicha norma resultaba inaplicable en el ejercicio 2008, toda vez que las formas y condiciones establecidas en la Resolución de Superintendencia N.° 234-2006, recién entraron en vigencia a partir del 1 de enero de</w:t>
      </w:r>
      <w:r w:rsidR="001072C6" w:rsidRPr="001072C6">
        <w:rPr>
          <w:rFonts w:cs="Arial"/>
          <w:sz w:val="24"/>
          <w:szCs w:val="24"/>
        </w:rPr>
        <w:t>l</w:t>
      </w:r>
      <w:r w:rsidRPr="001072C6">
        <w:rPr>
          <w:rFonts w:cs="Arial"/>
          <w:sz w:val="24"/>
          <w:szCs w:val="24"/>
        </w:rPr>
        <w:t xml:space="preserve"> 201</w:t>
      </w:r>
      <w:r w:rsidR="001072C6" w:rsidRPr="001072C6">
        <w:rPr>
          <w:rFonts w:cs="Arial"/>
          <w:sz w:val="24"/>
          <w:szCs w:val="24"/>
        </w:rPr>
        <w:t>0</w:t>
      </w:r>
      <w:r w:rsidRPr="001072C6">
        <w:rPr>
          <w:rFonts w:cs="Arial"/>
          <w:sz w:val="24"/>
          <w:szCs w:val="24"/>
        </w:rPr>
        <w:t xml:space="preserve">, por lo que, la presentación de un sistema de contabilidad de costos fue cumplido con la presentación de su sistema de centralización de costos, lo que permitía conocer al detalle todos los materiales que adquirió por cada obra a efectos de realizar la prestación de sus servicios de construcción, hecho que fue corroborado por la Administración, al evaluar su reporte denominado </w:t>
      </w:r>
      <w:r w:rsidR="003554A9">
        <w:rPr>
          <w:rFonts w:cs="Arial"/>
          <w:sz w:val="24"/>
          <w:szCs w:val="24"/>
        </w:rPr>
        <w:t>"</w:t>
      </w:r>
      <w:r w:rsidRPr="001072C6">
        <w:rPr>
          <w:rFonts w:cs="Arial"/>
          <w:sz w:val="24"/>
          <w:szCs w:val="24"/>
        </w:rPr>
        <w:t>Detalle del Resultado Operacional</w:t>
      </w:r>
      <w:r w:rsidR="003554A9">
        <w:rPr>
          <w:rFonts w:cs="Arial"/>
          <w:sz w:val="24"/>
          <w:szCs w:val="24"/>
        </w:rPr>
        <w:t>"</w:t>
      </w:r>
      <w:r w:rsidRPr="001072C6">
        <w:rPr>
          <w:rFonts w:cs="Arial"/>
          <w:sz w:val="24"/>
          <w:szCs w:val="24"/>
        </w:rPr>
        <w:t>, del cual se puede identificar el costo en el que se ha incurrido por obra, cumpliendo la función de un Registro de Inventario Permanente, en consecuencia no ha incurrido en infracción alguna.</w:t>
      </w:r>
    </w:p>
    <w:p w14:paraId="118104FA" w14:textId="77777777" w:rsidR="00D3111D" w:rsidRPr="001072C6" w:rsidRDefault="00D3111D" w:rsidP="003554A9">
      <w:pPr>
        <w:spacing w:before="120"/>
        <w:rPr>
          <w:rFonts w:cs="Arial"/>
          <w:sz w:val="24"/>
          <w:szCs w:val="24"/>
        </w:rPr>
      </w:pPr>
      <w:r w:rsidRPr="001072C6">
        <w:rPr>
          <w:rFonts w:cs="Arial"/>
          <w:sz w:val="24"/>
          <w:szCs w:val="24"/>
        </w:rPr>
        <w:t>Que asimismo alega que la resolución de multa es nula, toda vez que derivó de un procedimiento de fiscalización referido al Impuesto General a las Ventas y no al Impuesto a la Renta, ni obligaciones formales establecidas en el Código Tributario.</w:t>
      </w:r>
    </w:p>
    <w:p w14:paraId="1DA8B3A7" w14:textId="7E89C6F1" w:rsidR="00D3111D" w:rsidRPr="001072C6" w:rsidRDefault="00D3111D" w:rsidP="003554A9">
      <w:pPr>
        <w:spacing w:before="120"/>
        <w:rPr>
          <w:rFonts w:cs="Arial"/>
          <w:sz w:val="24"/>
          <w:szCs w:val="24"/>
        </w:rPr>
      </w:pPr>
      <w:r w:rsidRPr="001072C6">
        <w:rPr>
          <w:rFonts w:cs="Arial"/>
          <w:sz w:val="24"/>
          <w:szCs w:val="24"/>
        </w:rPr>
        <w:t xml:space="preserve">Que agrega que el Tribunal Fiscal ha incurrido en dualidad de criterio, por lo que no corresponde la aplicación de intereses ni sanciones en virtud al numeral 2 del artículo 170 del Código Tributario, toda vez que en las </w:t>
      </w:r>
      <w:r w:rsidR="003554A9" w:rsidRPr="001072C6">
        <w:rPr>
          <w:rFonts w:cs="Arial"/>
          <w:sz w:val="24"/>
          <w:szCs w:val="24"/>
        </w:rPr>
        <w:t xml:space="preserve">resoluciones </w:t>
      </w:r>
      <w:r w:rsidRPr="001072C6">
        <w:rPr>
          <w:rFonts w:cs="Arial"/>
          <w:sz w:val="24"/>
          <w:szCs w:val="24"/>
        </w:rPr>
        <w:t>de Tribunal Fiscal N.° 00267-5-2004 y 07717-12005 señaló que la obligación de llevar un Registro de Inventario Permanente solo recaía en los contribuyentes que por la naturaleza de sus actividades registraban entradas y salidas de bienes, lo que implica que cuenten con existencias destinadas a la comercialización.</w:t>
      </w:r>
    </w:p>
    <w:p w14:paraId="6C00D66C" w14:textId="77777777" w:rsidR="00D3111D" w:rsidRPr="001072C6" w:rsidRDefault="00D3111D" w:rsidP="003554A9">
      <w:pPr>
        <w:spacing w:before="120"/>
        <w:rPr>
          <w:rFonts w:cs="Arial"/>
          <w:sz w:val="24"/>
          <w:szCs w:val="24"/>
        </w:rPr>
      </w:pPr>
      <w:r w:rsidRPr="001072C6">
        <w:rPr>
          <w:rFonts w:cs="Arial"/>
          <w:sz w:val="24"/>
          <w:szCs w:val="24"/>
        </w:rPr>
        <w:lastRenderedPageBreak/>
        <w:t>Que la Administración señala que en el ejercicio 2008 la recurrente se encontraba obligada a llevar un sistema de contabilidad de costos, toda vez que verificó que registró movimientos de entrada y salida de bienes, y que declaró ingresos brutos superiores a 1,500 Unidades Impositivas Tributarias (UIT) por el Impuesto a la Renta del ejercicio 2007.</w:t>
      </w:r>
    </w:p>
    <w:p w14:paraId="772ED562" w14:textId="53838FAF" w:rsidR="00D3111D" w:rsidRPr="001072C6" w:rsidRDefault="00D3111D" w:rsidP="003554A9">
      <w:pPr>
        <w:spacing w:before="120"/>
        <w:rPr>
          <w:rFonts w:cs="Arial"/>
          <w:sz w:val="24"/>
          <w:szCs w:val="24"/>
        </w:rPr>
      </w:pPr>
      <w:r w:rsidRPr="001072C6">
        <w:rPr>
          <w:rFonts w:cs="Arial"/>
          <w:sz w:val="24"/>
          <w:szCs w:val="24"/>
        </w:rPr>
        <w:t>Que la materia en controversia consiste en determinar si la recurrente incurrió en la infracción tipificada por el numeral 1 del artículo 175 del Código Tributario y, por tanto, si la R</w:t>
      </w:r>
      <w:r w:rsidR="003554A9">
        <w:rPr>
          <w:rFonts w:cs="Arial"/>
          <w:sz w:val="24"/>
          <w:szCs w:val="24"/>
        </w:rPr>
        <w:t>esolución de Multa N.° 022-002-</w:t>
      </w:r>
      <w:r w:rsidRPr="001072C6">
        <w:rPr>
          <w:rFonts w:cs="Arial"/>
          <w:sz w:val="24"/>
          <w:szCs w:val="24"/>
        </w:rPr>
        <w:t>0009454 se giró de acuerdo a ley.</w:t>
      </w:r>
    </w:p>
    <w:p w14:paraId="4DEBAF3F" w14:textId="1EA14F93" w:rsidR="00D3111D" w:rsidRPr="001072C6" w:rsidRDefault="00D3111D" w:rsidP="003554A9">
      <w:pPr>
        <w:spacing w:before="120"/>
        <w:rPr>
          <w:rFonts w:cs="Arial"/>
          <w:sz w:val="24"/>
          <w:szCs w:val="24"/>
        </w:rPr>
      </w:pPr>
      <w:r w:rsidRPr="001072C6">
        <w:rPr>
          <w:rFonts w:cs="Arial"/>
          <w:sz w:val="24"/>
          <w:szCs w:val="24"/>
        </w:rPr>
        <w:t>Que el numeral 4 del artículo 87 del Texto Único Ordenado del Código Tributario aprobado por Decreto Supremo N.° 135-99-EF, sustituido por Decreto Legislativo N.° 953, establece que los deudores tributarios deberán, entre otros, llevar los libros de contabilidad u otros libros y registros exigidos por las leyes, reglamentos o por resolución de superintendencia de la Sunat, registrando las actividades u operaciones que se vinculen con la tributación conforme con lo establecido en las normas pertinentes.</w:t>
      </w:r>
    </w:p>
    <w:p w14:paraId="65AEF2B4" w14:textId="2D7678E5" w:rsidR="00D3111D" w:rsidRPr="001072C6" w:rsidRDefault="00D3111D" w:rsidP="003554A9">
      <w:pPr>
        <w:spacing w:before="120"/>
        <w:rPr>
          <w:rFonts w:cs="Arial"/>
          <w:sz w:val="24"/>
          <w:szCs w:val="24"/>
        </w:rPr>
      </w:pPr>
      <w:r w:rsidRPr="001072C6">
        <w:rPr>
          <w:rFonts w:cs="Arial"/>
          <w:sz w:val="24"/>
          <w:szCs w:val="24"/>
        </w:rPr>
        <w:t>Que el numeral 1 del artículo 175 del citado código, modificado por el Decreto Legislativo N.° 981, señala que constituye infracción omitir llevar los libros de contabilidad, u otros libros y/o registros exigidos por las leyes, reglamentos o por Resolución de Superintendencia de la Sunat u otros medios de control exigidos por las leyes y reglamentos.</w:t>
      </w:r>
    </w:p>
    <w:p w14:paraId="03A1D609" w14:textId="66CEAABE" w:rsidR="00D3111D" w:rsidRPr="001072C6" w:rsidRDefault="00D3111D" w:rsidP="003554A9">
      <w:pPr>
        <w:spacing w:before="120"/>
        <w:rPr>
          <w:rFonts w:cs="Arial"/>
          <w:sz w:val="24"/>
          <w:szCs w:val="24"/>
        </w:rPr>
      </w:pPr>
      <w:r w:rsidRPr="001072C6">
        <w:rPr>
          <w:rFonts w:cs="Arial"/>
          <w:sz w:val="24"/>
          <w:szCs w:val="24"/>
        </w:rPr>
        <w:t>Que de otro lado, conforme con el primer párrafo del artículo 62 del Texto Único Ordenado de la Ley del Impuesto a la Renta, aprobado por Decreto Supremo N.° 179-2004-EF, los contribuyentes, empresas o sociedades que, en razón de la actividad que desarrollen, deban practicar inventario, valuarán sus existencias por su costo de adquisición o producción adoptando cualquiera de los siguientes métodos, siempre que se apliquen uniformemente de ejercicio en ejercicio: a) Primeras entradas, primeras salidas (PEPS); b) Promedio diario, mensual o anual (</w:t>
      </w:r>
      <w:r w:rsidR="003554A9" w:rsidRPr="001072C6">
        <w:rPr>
          <w:rFonts w:cs="Arial"/>
          <w:sz w:val="24"/>
          <w:szCs w:val="24"/>
        </w:rPr>
        <w:t>ponderado o movil</w:t>
      </w:r>
      <w:r w:rsidRPr="001072C6">
        <w:rPr>
          <w:rFonts w:cs="Arial"/>
          <w:sz w:val="24"/>
          <w:szCs w:val="24"/>
        </w:rPr>
        <w:t>); c) Identificación específica; d) Inventario al detalle o por menor; y e) Existencias básicas.</w:t>
      </w:r>
    </w:p>
    <w:p w14:paraId="729CC74C" w14:textId="77777777" w:rsidR="00D3111D" w:rsidRPr="001072C6" w:rsidRDefault="00D3111D" w:rsidP="003554A9">
      <w:pPr>
        <w:spacing w:before="120"/>
        <w:rPr>
          <w:rFonts w:cs="Arial"/>
          <w:sz w:val="24"/>
          <w:szCs w:val="24"/>
        </w:rPr>
      </w:pPr>
      <w:r w:rsidRPr="001072C6">
        <w:rPr>
          <w:rFonts w:cs="Arial"/>
          <w:sz w:val="24"/>
          <w:szCs w:val="24"/>
        </w:rPr>
        <w:t>Que el segundo párrafo del citado artículo señala que el reglamento podrá establecer, para los contribuyentes, empresas o sociedades, en función a sus ingresos anuales o por la naturaleza de sus actividades, obligaciones especiales relativas a la forma en que deben llevar sus inventarios y contabilizar sus costos.</w:t>
      </w:r>
    </w:p>
    <w:p w14:paraId="03969903" w14:textId="0A43C137" w:rsidR="00D3111D" w:rsidRPr="001072C6" w:rsidRDefault="00D3111D" w:rsidP="003554A9">
      <w:pPr>
        <w:spacing w:before="120"/>
        <w:rPr>
          <w:rFonts w:cs="Arial"/>
          <w:sz w:val="24"/>
          <w:szCs w:val="24"/>
        </w:rPr>
      </w:pPr>
      <w:r w:rsidRPr="001072C6">
        <w:rPr>
          <w:rFonts w:cs="Arial"/>
          <w:sz w:val="24"/>
          <w:szCs w:val="24"/>
        </w:rPr>
        <w:t>Que por su parte, el inciso a) del artículo 35 del Reglamento de la referida ley, aprobado por Decreto Supremo N.° 122-94-EF, modificado por Decreto Supremo N.° 134-2004</w:t>
      </w:r>
      <w:r w:rsidRPr="001072C6">
        <w:rPr>
          <w:rFonts w:cs="Arial"/>
          <w:sz w:val="24"/>
          <w:szCs w:val="24"/>
          <w:vertAlign w:val="superscript"/>
        </w:rPr>
        <w:t>1</w:t>
      </w:r>
      <w:r w:rsidRPr="001072C6">
        <w:rPr>
          <w:rFonts w:cs="Arial"/>
          <w:sz w:val="24"/>
          <w:szCs w:val="24"/>
        </w:rPr>
        <w:t>, prevé disposiciones referidas al control de inventarios y contabilización de costos, señalándose que en el caso de deudores tributarios cuyos ingresos brutos anuales durante el ejercicio precedente hayan sido mayores a mil quinientos (1 500,00) UIT del ejercicio en curso, se deberá llevar un sistema de contabilidad de costos, cuya información deberá ser registrada en los siguientes registros: Registro de Costos, Registro de Inventario Permanente en Unidades Físicas y Registro de Inventario Permanente Valorizado.</w:t>
      </w:r>
    </w:p>
    <w:p w14:paraId="4378B8DE" w14:textId="64580AB5" w:rsidR="00D3111D" w:rsidRPr="001072C6" w:rsidRDefault="00D3111D" w:rsidP="003554A9">
      <w:pPr>
        <w:spacing w:before="120"/>
        <w:rPr>
          <w:rFonts w:cs="Arial"/>
          <w:sz w:val="24"/>
          <w:szCs w:val="24"/>
        </w:rPr>
      </w:pPr>
      <w:r w:rsidRPr="001072C6">
        <w:rPr>
          <w:rFonts w:cs="Arial"/>
          <w:sz w:val="24"/>
          <w:szCs w:val="24"/>
        </w:rPr>
        <w:lastRenderedPageBreak/>
        <w:t>Que de la revisión de la Resolución de Multa N.° 022-002-0009454 (foja 1378), se aprecia que dicho valor fue girado por la infracción tipificada en el numeral 1 del artículo 175 del Código Tributario, debido a que la recurrente no llevaba el Registro de Costos, Registro de Inventario Permanente en Unidades Físicas ni el Registro de Inventario Permanente Valorizado, sustentándose en el resultado del Requerimiento N.° 0222090007496.</w:t>
      </w:r>
    </w:p>
    <w:p w14:paraId="09590002" w14:textId="5D71AB6E" w:rsidR="00D3111D" w:rsidRPr="001072C6" w:rsidRDefault="00D3111D" w:rsidP="003554A9">
      <w:pPr>
        <w:spacing w:before="120"/>
        <w:rPr>
          <w:rFonts w:cs="Arial"/>
          <w:sz w:val="24"/>
          <w:szCs w:val="24"/>
        </w:rPr>
      </w:pPr>
      <w:r w:rsidRPr="001072C6">
        <w:rPr>
          <w:rFonts w:cs="Arial"/>
          <w:sz w:val="24"/>
          <w:szCs w:val="24"/>
        </w:rPr>
        <w:t xml:space="preserve">Que la recurrente señala que no le resultaba aplicable lo dispuesto por el artículo 35 del Reglamento del Impuesto a la Renta, considerando la modificación efectuada por Decreto Supremo N.° 134-2004-EF, ya que la Resolución de Superintendencia N.° 234-2006/Sunat entró en vigencia el 1 de enero del 2010, por lo que tenía que aplicarse la normativa anterior sin considerar dicha modificación, lo cual concuerda con lo dispuesto por la Tercera Disposición Complementaria Final del </w:t>
      </w:r>
      <w:r w:rsidR="003554A9" w:rsidRPr="001072C6">
        <w:rPr>
          <w:rFonts w:cs="Arial"/>
          <w:sz w:val="24"/>
          <w:szCs w:val="24"/>
        </w:rPr>
        <w:t>anotado decreto supremo</w:t>
      </w:r>
      <w:r w:rsidRPr="001072C6">
        <w:rPr>
          <w:rFonts w:cs="Arial"/>
          <w:sz w:val="24"/>
          <w:szCs w:val="24"/>
        </w:rPr>
        <w:t>, por lo que corresponde a esta instancia evaluar previamente dicho alegato para determinar el marco normativo aplicable al caso de autos.</w:t>
      </w:r>
    </w:p>
    <w:p w14:paraId="19638169" w14:textId="34CB8B36" w:rsidR="00D3111D" w:rsidRPr="001072C6" w:rsidRDefault="00D3111D" w:rsidP="003554A9">
      <w:pPr>
        <w:spacing w:before="120"/>
        <w:rPr>
          <w:rFonts w:cs="Arial"/>
          <w:sz w:val="24"/>
          <w:szCs w:val="24"/>
        </w:rPr>
      </w:pPr>
      <w:r w:rsidRPr="001072C6">
        <w:rPr>
          <w:rFonts w:cs="Arial"/>
          <w:sz w:val="24"/>
          <w:szCs w:val="24"/>
        </w:rPr>
        <w:t xml:space="preserve">Que sobre el particular, mediante Decreto Supremo N.° 134-2004-EF, publicado en el Diario Oficial </w:t>
      </w:r>
      <w:r w:rsidR="003554A9">
        <w:rPr>
          <w:rFonts w:cs="Arial"/>
          <w:sz w:val="24"/>
          <w:szCs w:val="24"/>
        </w:rPr>
        <w:t>"</w:t>
      </w:r>
      <w:r w:rsidRPr="001072C6">
        <w:rPr>
          <w:rFonts w:cs="Arial"/>
          <w:sz w:val="24"/>
          <w:szCs w:val="24"/>
        </w:rPr>
        <w:t>El Peruano</w:t>
      </w:r>
      <w:r w:rsidR="003554A9">
        <w:rPr>
          <w:rFonts w:cs="Arial"/>
          <w:sz w:val="24"/>
          <w:szCs w:val="24"/>
        </w:rPr>
        <w:t>"</w:t>
      </w:r>
      <w:r w:rsidRPr="001072C6">
        <w:rPr>
          <w:rFonts w:cs="Arial"/>
          <w:sz w:val="24"/>
          <w:szCs w:val="24"/>
        </w:rPr>
        <w:t xml:space="preserve"> el 5 de octubre del 2004, se modificó el Reglamento del Impuesto a la Renta –entre otros– el inciso a) del artículo 35 del Reglamento del Impuesto a la Renta, en los siguientes términos: </w:t>
      </w:r>
      <w:r w:rsidR="003554A9">
        <w:rPr>
          <w:rFonts w:cs="Arial"/>
          <w:sz w:val="24"/>
          <w:szCs w:val="24"/>
        </w:rPr>
        <w:t>"</w:t>
      </w:r>
      <w:r w:rsidRPr="001072C6">
        <w:rPr>
          <w:rFonts w:cs="Arial"/>
          <w:i/>
          <w:iCs/>
          <w:sz w:val="24"/>
          <w:szCs w:val="24"/>
        </w:rPr>
        <w:t>Los deudores tributarios deberán llevar sus inventarios y contabilizar sus costos de acuerdo a las siguientes normas: a) Cuando sus ingresos brutos anuales durante el ejercicio precedente hayan sido mayores a mil quinientas (1500) Unidades Impositivas Tributarias del ejercicio en curso, deberán llevar un sistema de contabilidad de costos, cuya información deberá ser registrada en los siguientes registros: Registros de Costos, Registro de Inventario Permanente en Unidades Físicas y Registro de Inventario Permanente Valorizado</w:t>
      </w:r>
      <w:r w:rsidRPr="001072C6">
        <w:rPr>
          <w:rFonts w:cs="Arial"/>
          <w:sz w:val="24"/>
          <w:szCs w:val="24"/>
        </w:rPr>
        <w:t>.</w:t>
      </w:r>
      <w:r w:rsidR="003554A9">
        <w:rPr>
          <w:rFonts w:cs="Arial"/>
          <w:sz w:val="24"/>
          <w:szCs w:val="24"/>
        </w:rPr>
        <w:t>"</w:t>
      </w:r>
    </w:p>
    <w:p w14:paraId="25125817" w14:textId="362A8FCD" w:rsidR="00D3111D" w:rsidRPr="001072C6" w:rsidRDefault="00D3111D" w:rsidP="003554A9">
      <w:pPr>
        <w:spacing w:before="120"/>
        <w:rPr>
          <w:rFonts w:cs="Arial"/>
          <w:sz w:val="24"/>
          <w:szCs w:val="24"/>
        </w:rPr>
      </w:pPr>
      <w:r w:rsidRPr="001072C6">
        <w:rPr>
          <w:rFonts w:cs="Arial"/>
          <w:sz w:val="24"/>
          <w:szCs w:val="24"/>
        </w:rPr>
        <w:t>Que el inciso h) del mencionado artículo 35 establece que la Sunat mediante resolución de superintendencia podrá, entre otros, establecer los requisitos, características, contenido, forma y condiciones en que deberán llevarse los registros establecidos en dicho artículo.</w:t>
      </w:r>
    </w:p>
    <w:p w14:paraId="4BCA32E3" w14:textId="19DB695E" w:rsidR="00D3111D" w:rsidRPr="001072C6" w:rsidRDefault="00D3111D" w:rsidP="003554A9">
      <w:pPr>
        <w:spacing w:before="120"/>
        <w:rPr>
          <w:rFonts w:cs="Arial"/>
          <w:sz w:val="24"/>
          <w:szCs w:val="24"/>
        </w:rPr>
      </w:pPr>
      <w:r w:rsidRPr="001072C6">
        <w:rPr>
          <w:rFonts w:cs="Arial"/>
          <w:sz w:val="24"/>
          <w:szCs w:val="24"/>
        </w:rPr>
        <w:t>Que el artículo 40 del mencionado Decreto Supremo N.° 134-2004-EF, establece que tal decreto supremo entrará en vigencia al día siguiente de su publicación.</w:t>
      </w:r>
    </w:p>
    <w:p w14:paraId="270F01B6" w14:textId="1165EFFA" w:rsidR="00D3111D" w:rsidRPr="001072C6" w:rsidRDefault="00D3111D" w:rsidP="003554A9">
      <w:pPr>
        <w:spacing w:before="120"/>
        <w:rPr>
          <w:rFonts w:cs="Arial"/>
          <w:sz w:val="24"/>
          <w:szCs w:val="24"/>
        </w:rPr>
      </w:pPr>
      <w:r w:rsidRPr="001072C6">
        <w:rPr>
          <w:rFonts w:cs="Arial"/>
          <w:sz w:val="24"/>
          <w:szCs w:val="24"/>
        </w:rPr>
        <w:t xml:space="preserve">Que la Tercera Disposición Final del mencionado decreto supremo establece que en tanto la Sunat no emita la resolución de superintendencia que establezca la forma, plazos, medios y condiciones para la inscripción en el Registro de Donantes, la resolución de superintendencia a que se refiere el inciso f) del artículo 22 del Reglamento, la resolución de superintendencia que regule los requisitos, características, contenido, formas y condiciones de los registros señalados en el artículo 35 del Reglamento y la resolución de superintendencia que regule las características, requisitos, información mínima y demás aspectos relacionados al Libro de Ingresos y Gastos, a que se refiere el último párrafo del artículo 65 de la ley, serán de aplicación las siguientes disposiciones: 1) El numeral 1.3 del incisos) del artículo 21 del Decreto Supremo N.° 122-94-EF, incorporado por el Decreto Supremo N.° 017-2003-EF, antes de su modificación por el presente decreto supremo; 2) Los deudores </w:t>
      </w:r>
      <w:r w:rsidRPr="001072C6">
        <w:rPr>
          <w:rFonts w:cs="Arial"/>
          <w:sz w:val="24"/>
          <w:szCs w:val="24"/>
        </w:rPr>
        <w:lastRenderedPageBreak/>
        <w:t>tributarios continuarán llevando el control permanente de los bienes del activo fijo en la forma y condiciones establecidas en el Reglamento antes de su modificación por el presente decreto supremo; 3) Los deudores tributarios seguirán cumpliendo con las obligaciones establecidas en el Reglamento antes de su modificación por el presente decreto supremo; 4) Los perceptores de rentas de cuarta categoría, seguirán llevando el Libro de Ingresos señalado en el Texto Único Ordenado de la Ley del Impuesto a la Renta, antes de su modificación por el Decreto Legislativo N.° 945.</w:t>
      </w:r>
    </w:p>
    <w:p w14:paraId="05C17564" w14:textId="7BCC8BB9" w:rsidR="00D3111D" w:rsidRPr="001072C6" w:rsidRDefault="00D3111D" w:rsidP="003554A9">
      <w:pPr>
        <w:spacing w:before="120"/>
        <w:rPr>
          <w:rFonts w:cs="Arial"/>
          <w:sz w:val="24"/>
          <w:szCs w:val="24"/>
        </w:rPr>
      </w:pPr>
      <w:r w:rsidRPr="001072C6">
        <w:rPr>
          <w:rFonts w:cs="Arial"/>
          <w:sz w:val="24"/>
          <w:szCs w:val="24"/>
        </w:rPr>
        <w:t xml:space="preserve">Que mediante Resolución de Superintendencia N.° 234-2006/Sunat, publicada en el Diario Oficial </w:t>
      </w:r>
      <w:r w:rsidR="003554A9">
        <w:rPr>
          <w:rFonts w:cs="Arial"/>
          <w:sz w:val="24"/>
          <w:szCs w:val="24"/>
        </w:rPr>
        <w:t>"</w:t>
      </w:r>
      <w:r w:rsidRPr="001072C6">
        <w:rPr>
          <w:rFonts w:cs="Arial"/>
          <w:sz w:val="24"/>
          <w:szCs w:val="24"/>
        </w:rPr>
        <w:t>El Peruano</w:t>
      </w:r>
      <w:r w:rsidR="003554A9">
        <w:rPr>
          <w:rFonts w:cs="Arial"/>
          <w:sz w:val="24"/>
          <w:szCs w:val="24"/>
        </w:rPr>
        <w:t>"</w:t>
      </w:r>
      <w:r w:rsidRPr="001072C6">
        <w:rPr>
          <w:rFonts w:cs="Arial"/>
          <w:sz w:val="24"/>
          <w:szCs w:val="24"/>
        </w:rPr>
        <w:t xml:space="preserve"> el 30 de diciembre del 2006, se aprobaron las disposiciones que establece las normas referidas a libros y registros vinculados a asuntos tributarios, vigente a partir del 1 de enero de 2007, salvo lo dispuesto en los artículos 12 y 13 (que regulan la contabilidad completa y la información mínima y los formatos de los libros y registros) los cuales entraron en vigencia a partir del 1 de enero del 2009, de acuerdo con la modificación introducida por la Resolución de Superintendencia N.° 230-2007/Sunat, publicada el 15 de diciembre de 2007, vigente a partir del 16 de diciembre de</w:t>
      </w:r>
      <w:r w:rsidR="001072C6" w:rsidRPr="001072C6">
        <w:rPr>
          <w:rFonts w:cs="Arial"/>
          <w:sz w:val="24"/>
          <w:szCs w:val="24"/>
        </w:rPr>
        <w:t>l</w:t>
      </w:r>
      <w:r w:rsidRPr="001072C6">
        <w:rPr>
          <w:rFonts w:cs="Arial"/>
          <w:sz w:val="24"/>
          <w:szCs w:val="24"/>
        </w:rPr>
        <w:t xml:space="preserve"> 2007.</w:t>
      </w:r>
    </w:p>
    <w:p w14:paraId="69C141BC" w14:textId="62CCDB7B" w:rsidR="00D3111D" w:rsidRPr="001072C6" w:rsidRDefault="00D3111D" w:rsidP="003554A9">
      <w:pPr>
        <w:spacing w:before="120"/>
        <w:rPr>
          <w:rFonts w:cs="Arial"/>
          <w:sz w:val="24"/>
          <w:szCs w:val="24"/>
        </w:rPr>
      </w:pPr>
      <w:r w:rsidRPr="001072C6">
        <w:rPr>
          <w:rFonts w:cs="Arial"/>
          <w:sz w:val="24"/>
          <w:szCs w:val="24"/>
        </w:rPr>
        <w:t>Que como puede apreciarse de las normas glosadas, si bien el numeral 3 de la Tercera Disposición Final del Decreto Supremo N.° 134-2004-EF establece que en tanto la Sunat no emita la resolución de superintendencia que regule los requisitos, características, contenido, formas y condiciones de los registros señalados en el artículo 35 del Reglamento, los deudores tributarios seguirán cumpliendo con las obligaciones establecidas en dicho Reglamento antes de su modificación por el mencionado decreto supremo, ello estuvo referido al contenido, la forma y condiciones de cómo llevar, entre otros, el Registro de Inventario Permanente en Unidades Físicas y el Registro de Inventario Permanente Valorizado, mas no constituye una situación para dejar de llevar los mencionados registros, bajo el sustento de aplicar la normatividad anterior</w:t>
      </w:r>
      <w:r w:rsidRPr="001072C6">
        <w:rPr>
          <w:rFonts w:cs="Arial"/>
          <w:sz w:val="24"/>
          <w:szCs w:val="24"/>
          <w:vertAlign w:val="superscript"/>
        </w:rPr>
        <w:t>2</w:t>
      </w:r>
      <w:r w:rsidRPr="001072C6">
        <w:rPr>
          <w:rFonts w:cs="Arial"/>
          <w:sz w:val="24"/>
          <w:szCs w:val="24"/>
        </w:rPr>
        <w:t>.</w:t>
      </w:r>
    </w:p>
    <w:p w14:paraId="4DAF68ED" w14:textId="567D5FF6" w:rsidR="00D3111D" w:rsidRPr="001072C6" w:rsidRDefault="00D3111D" w:rsidP="003554A9">
      <w:pPr>
        <w:spacing w:before="120"/>
        <w:rPr>
          <w:rFonts w:cs="Arial"/>
          <w:sz w:val="24"/>
          <w:szCs w:val="24"/>
        </w:rPr>
      </w:pPr>
      <w:r w:rsidRPr="001072C6">
        <w:rPr>
          <w:rFonts w:cs="Arial"/>
          <w:sz w:val="24"/>
          <w:szCs w:val="24"/>
        </w:rPr>
        <w:t>Que en efecto, la resolución de superintendencia que describe el propio artículo 35 del Reglamento del Impuesto a la Renta en su inciso h) se refiere al establecimiento de los requisitos, características, contenido, forma y condiciones en que deberá llevarse los registros, lo cual se dio con la publicación de la Resolución de Superintendencia N.° 234-2006/Sunat, que sobre dicho aspecto, entró en vigencia el 1 de enero del 2009, pero de modo alguno significaba la inaplicación del mencionado artículo 35 del Reglamento, modificado por Decreto Supremo N.° 134-2004-EF, por lo que lo alegado por la recurrente en sentido contrario carece de sustento</w:t>
      </w:r>
      <w:r w:rsidRPr="001072C6">
        <w:rPr>
          <w:rFonts w:cs="Arial"/>
          <w:sz w:val="24"/>
          <w:szCs w:val="24"/>
          <w:vertAlign w:val="superscript"/>
        </w:rPr>
        <w:t>3</w:t>
      </w:r>
      <w:r w:rsidRPr="001072C6">
        <w:rPr>
          <w:rFonts w:cs="Arial"/>
          <w:sz w:val="24"/>
          <w:szCs w:val="24"/>
        </w:rPr>
        <w:t>.</w:t>
      </w:r>
    </w:p>
    <w:p w14:paraId="5D592449" w14:textId="378761EA" w:rsidR="00D3111D" w:rsidRPr="001072C6" w:rsidRDefault="00D3111D" w:rsidP="003554A9">
      <w:pPr>
        <w:spacing w:before="120"/>
        <w:rPr>
          <w:rFonts w:cs="Arial"/>
          <w:sz w:val="24"/>
          <w:szCs w:val="24"/>
        </w:rPr>
      </w:pPr>
      <w:r w:rsidRPr="001072C6">
        <w:rPr>
          <w:rFonts w:cs="Arial"/>
          <w:sz w:val="24"/>
          <w:szCs w:val="24"/>
        </w:rPr>
        <w:t>Que al haberse establecido que resultaba aplicable al caso de autos, las disposiciones contenidas en el artículo 35 del Reglamento del Impuesto a la Renta, modificado por Decreto Supremo N.° 134-2004-EF, no resulta pertinente lo mencionado por la recurrente con relación a la aplicación del artículo 35 del Reglamento del Impuesto a la Renta, modificado por Decreto Supremo N.° 194-99-EF, debiendo proseguirse con el análisis de la comisión de la infracción y el establecimiento de la sanción.</w:t>
      </w:r>
    </w:p>
    <w:p w14:paraId="3FD1FCB4" w14:textId="451A2F51" w:rsidR="00D3111D" w:rsidRPr="001072C6" w:rsidRDefault="00D3111D" w:rsidP="003554A9">
      <w:pPr>
        <w:spacing w:before="120"/>
        <w:rPr>
          <w:rFonts w:cs="Arial"/>
          <w:sz w:val="24"/>
          <w:szCs w:val="24"/>
        </w:rPr>
      </w:pPr>
      <w:r w:rsidRPr="001072C6">
        <w:rPr>
          <w:rFonts w:cs="Arial"/>
          <w:sz w:val="24"/>
          <w:szCs w:val="24"/>
        </w:rPr>
        <w:t>Que de autos se tiene que mediante Requerimiento N.° 0221090001637</w:t>
      </w:r>
      <w:r w:rsidRPr="001072C6">
        <w:rPr>
          <w:rFonts w:cs="Arial"/>
          <w:sz w:val="24"/>
          <w:szCs w:val="24"/>
          <w:vertAlign w:val="superscript"/>
        </w:rPr>
        <w:t>4</w:t>
      </w:r>
      <w:r w:rsidRPr="001072C6">
        <w:rPr>
          <w:rFonts w:cs="Arial"/>
          <w:sz w:val="24"/>
          <w:szCs w:val="24"/>
        </w:rPr>
        <w:t xml:space="preserve"> (fojas 1288 y 1289), la Administración inició a la recurrente la fiscalización del cumplimiento de obligaciones tributarias correspondientes al Impuesto General </w:t>
      </w:r>
      <w:r w:rsidRPr="001072C6">
        <w:rPr>
          <w:rFonts w:cs="Arial"/>
          <w:sz w:val="24"/>
          <w:szCs w:val="24"/>
        </w:rPr>
        <w:lastRenderedPageBreak/>
        <w:t>a las Ventas de los períodos enero a diciembre del 2008, solicitándole en el punto 13 del aludido requerimiento que exhibiera el inventario y/o contabilidad de costos de acuerdo con lo establecido en el artículo 35 del Reglamento de la Ley del Impuesto a la Renta.</w:t>
      </w:r>
    </w:p>
    <w:p w14:paraId="75D86CB7" w14:textId="0802A272" w:rsidR="00D3111D" w:rsidRPr="001072C6" w:rsidRDefault="00D3111D" w:rsidP="003554A9">
      <w:pPr>
        <w:spacing w:before="120"/>
        <w:rPr>
          <w:rFonts w:cs="Arial"/>
          <w:sz w:val="24"/>
          <w:szCs w:val="24"/>
        </w:rPr>
      </w:pPr>
      <w:r w:rsidRPr="001072C6">
        <w:rPr>
          <w:rFonts w:cs="Arial"/>
          <w:sz w:val="24"/>
          <w:szCs w:val="24"/>
        </w:rPr>
        <w:t>Que en el punto 13 del Resultado de Requerimiento N.° 0221090001637 (foja 1285), la Administración dejó constancia que la recurrente mediante escrito indicó que al no ser una empresa industrial, lo requerido en el referido punto no le era de aplicación, asimismo, en las observaciones del mencionado resultado del requerimiento (foja 1284) se consignó que con relación al punto 13, toda vez que la recurrente se encontraba obligada a llevar inventario y/o contabilidad de costos de acuerdo con lo establecido en el artículo 35 del Reglamento de la Ley del Impuesto a la Renta, al no exhibirlos, la recurrente había incurrido en la infracción tipificada en el numeral 1 del artículo 177 del Código Tributario.</w:t>
      </w:r>
    </w:p>
    <w:p w14:paraId="0ACF94D5" w14:textId="195C3DC4" w:rsidR="00D3111D" w:rsidRPr="001072C6" w:rsidRDefault="00D3111D" w:rsidP="003554A9">
      <w:pPr>
        <w:spacing w:before="120"/>
        <w:rPr>
          <w:rFonts w:cs="Arial"/>
          <w:sz w:val="24"/>
          <w:szCs w:val="24"/>
        </w:rPr>
      </w:pPr>
      <w:r w:rsidRPr="001072C6">
        <w:rPr>
          <w:rFonts w:cs="Arial"/>
          <w:sz w:val="24"/>
          <w:szCs w:val="24"/>
        </w:rPr>
        <w:t>Que posteriormente, mediante el Anexo N.° 1 del Requerimiento N.° 0222090007496 (fojas 1267 a 1271), la Administración dejó constancia que la recurrente, con fecha 9 de octubre del 2010, presentó un escrito indicando que respecto de lo observado en el punto 13 del Resultado de Requerimiento N.° 0221090001637, toda vez que el giro de su negocio es el de construcción, y no el de comercio o industria, no le resultaba aplicable lo dispuesto por el artículo 62 de la Ley del Impuesto a la Renta y el artículo 35 del reglamento de la citada ley, sin embargo, que habría cumplido con llevar una cuenta especial por obra, tal como lo dispone el artículo 63 de la Ley del Impuesto a la Renta; siendo que en el citado requerimiento, la Administración da respuesta al referido escrito, concluyendo, entre otros, que la recurrente si se encontraba obligada a llevar un sistema de contabilidad de costos, por lo que debió presentar los Registros de Costos, Inventario Permanente en Unidades, e Inventario Permanente Valorizado, para lo cual reiteraba con dicho requerimiento la presentación de los referidos registros.</w:t>
      </w:r>
    </w:p>
    <w:p w14:paraId="51639B29" w14:textId="73F4C506" w:rsidR="00D3111D" w:rsidRPr="001072C6" w:rsidRDefault="00D3111D" w:rsidP="003554A9">
      <w:pPr>
        <w:spacing w:before="120"/>
        <w:rPr>
          <w:rFonts w:cs="Arial"/>
          <w:sz w:val="24"/>
          <w:szCs w:val="24"/>
        </w:rPr>
      </w:pPr>
      <w:r w:rsidRPr="001072C6">
        <w:rPr>
          <w:rFonts w:cs="Arial"/>
          <w:sz w:val="24"/>
          <w:szCs w:val="24"/>
        </w:rPr>
        <w:t>Que en el Resultado del Requerimiento N.° 0222090007496 (fojas 1253 a 1265), la Administración dejó constancia que la recurrente presentó, con fecha 5 de noviembre del 2009, un escrito alegando una vez más que no le resultaba aplicable lo dispuesto por el artículo 62 de la Ley del Impuesto a la Renta y el artículo 35 del reglamento de la citada ley, siendo que en el referido resultado requerimiento, la Administración dio cuenta que además de considerar que la recurrente por el Impuesto a la Renta del ejercicio 2007, declaró ingresos brutos superiores a 1 500 Unidades Impositivas Tributarias (UIT), del libro mayor proporcionado por la recurrente se desprendía que esta registró movimientos en cuentas contables vinculadas a inventarios y contabilidad de costos, como adquisiciones de materias primas, auxiliares, suministros, entre otros, los que son necesarios para la ejecución de los contratos de construcción, por lo que se encontraba obligado a llevar una contabilidad de costos, y ya que la recurrente alegaba no contar con los registros solicitados, se dejaba sin efecto la infracción tipificada en el numeral 1 del artículo 177 del Código Tributario impuesta inicialmente, y se estableció que incurría en la infracción tipificada en el numeral 1 del artículo 175 del Código Tributario.</w:t>
      </w:r>
    </w:p>
    <w:p w14:paraId="75445586" w14:textId="3AD1DD96" w:rsidR="00D3111D" w:rsidRPr="001072C6" w:rsidRDefault="00D3111D" w:rsidP="003554A9">
      <w:pPr>
        <w:spacing w:before="120"/>
        <w:rPr>
          <w:rFonts w:cs="Arial"/>
          <w:sz w:val="24"/>
          <w:szCs w:val="24"/>
        </w:rPr>
      </w:pPr>
      <w:r w:rsidRPr="001072C6">
        <w:rPr>
          <w:rFonts w:cs="Arial"/>
          <w:sz w:val="24"/>
          <w:szCs w:val="24"/>
        </w:rPr>
        <w:t xml:space="preserve">Que tal y como se ha indicado en los considerandos precedentes, la recurrente desde la etapa de fiscalización, así como al interponer su recurso de </w:t>
      </w:r>
      <w:r w:rsidRPr="001072C6">
        <w:rPr>
          <w:rFonts w:cs="Arial"/>
          <w:sz w:val="24"/>
          <w:szCs w:val="24"/>
        </w:rPr>
        <w:lastRenderedPageBreak/>
        <w:t>reclamación y apelación contra la Resolución de Multa N.° 022-002-0009454, sostiene que no lleva, entre otros, el Registro de Inventario Permanente Valorizado al ser una empresa dedicada a la prestación de servicios, por lo que no se encuentra obligada a cumplir con el deber de llevar dichos registros, según lo establecido en el inciso a) del artículo 35 del Reglamento de Ley del Impuesto a la Renta; y, por consiguiente, no puede considerarse que ha cometido la infracción contemplada por el numeral 1 del artículo 175 del Código Tributario.</w:t>
      </w:r>
    </w:p>
    <w:p w14:paraId="5991E985" w14:textId="7133D344" w:rsidR="00D3111D" w:rsidRPr="001072C6" w:rsidRDefault="00D3111D" w:rsidP="003554A9">
      <w:pPr>
        <w:spacing w:before="120"/>
        <w:rPr>
          <w:rFonts w:cs="Arial"/>
          <w:sz w:val="24"/>
          <w:szCs w:val="24"/>
        </w:rPr>
      </w:pPr>
      <w:r w:rsidRPr="001072C6">
        <w:rPr>
          <w:rFonts w:cs="Arial"/>
          <w:sz w:val="24"/>
          <w:szCs w:val="24"/>
        </w:rPr>
        <w:t xml:space="preserve">Que acerca de la obligación de llevar un Registro de Inventario Permanente en Unidades Físicas, aplicable a las empresas de servicios, este Tribunal, mediante Resolución N.° 04289-8-2015, publicada en el Diario Oficial </w:t>
      </w:r>
      <w:r w:rsidR="003554A9">
        <w:rPr>
          <w:rFonts w:cs="Arial"/>
          <w:sz w:val="24"/>
          <w:szCs w:val="24"/>
        </w:rPr>
        <w:t>"</w:t>
      </w:r>
      <w:r w:rsidRPr="001072C6">
        <w:rPr>
          <w:rFonts w:cs="Arial"/>
          <w:sz w:val="24"/>
          <w:szCs w:val="24"/>
        </w:rPr>
        <w:t>El Peruano</w:t>
      </w:r>
      <w:r w:rsidR="003554A9">
        <w:rPr>
          <w:rFonts w:cs="Arial"/>
          <w:sz w:val="24"/>
          <w:szCs w:val="24"/>
        </w:rPr>
        <w:t>"</w:t>
      </w:r>
      <w:r w:rsidRPr="001072C6">
        <w:rPr>
          <w:rFonts w:cs="Arial"/>
          <w:sz w:val="24"/>
          <w:szCs w:val="24"/>
        </w:rPr>
        <w:t xml:space="preserve"> el 16 de mayo del 2015, que constituye precedente de observancia obligatoria, ha establecido que:</w:t>
      </w:r>
    </w:p>
    <w:p w14:paraId="4DB86643" w14:textId="493C5E26" w:rsidR="00D3111D" w:rsidRPr="001072C6" w:rsidRDefault="003554A9" w:rsidP="003554A9">
      <w:pPr>
        <w:spacing w:before="120"/>
        <w:rPr>
          <w:rFonts w:cs="Arial"/>
          <w:sz w:val="24"/>
          <w:szCs w:val="24"/>
        </w:rPr>
      </w:pPr>
      <w:r>
        <w:rPr>
          <w:rFonts w:cs="Arial"/>
          <w:sz w:val="24"/>
          <w:szCs w:val="24"/>
        </w:rPr>
        <w:t>"</w:t>
      </w:r>
      <w:r w:rsidR="00D3111D" w:rsidRPr="001072C6">
        <w:rPr>
          <w:rFonts w:cs="Arial"/>
          <w:i/>
          <w:iCs/>
          <w:sz w:val="24"/>
          <w:szCs w:val="24"/>
        </w:rPr>
        <w:t xml:space="preserve">(...) Así, en cuanto a los sujetos obligados a </w:t>
      </w:r>
      <w:r>
        <w:rPr>
          <w:rFonts w:cs="Arial"/>
          <w:i/>
          <w:iCs/>
          <w:sz w:val="24"/>
          <w:szCs w:val="24"/>
        </w:rPr>
        <w:t>"</w:t>
      </w:r>
      <w:r w:rsidR="00D3111D" w:rsidRPr="001072C6">
        <w:rPr>
          <w:rFonts w:cs="Arial"/>
          <w:i/>
          <w:iCs/>
          <w:sz w:val="24"/>
          <w:szCs w:val="24"/>
        </w:rPr>
        <w:t>practicar inventarios</w:t>
      </w:r>
      <w:r>
        <w:rPr>
          <w:rFonts w:cs="Arial"/>
          <w:i/>
          <w:iCs/>
          <w:sz w:val="24"/>
          <w:szCs w:val="24"/>
        </w:rPr>
        <w:t>"</w:t>
      </w:r>
      <w:r w:rsidR="00D3111D" w:rsidRPr="001072C6">
        <w:rPr>
          <w:rFonts w:cs="Arial"/>
          <w:i/>
          <w:iCs/>
          <w:sz w:val="24"/>
          <w:szCs w:val="24"/>
        </w:rPr>
        <w:t xml:space="preserve">, tal como se desprende del artículo 62 de la Ley del Impuesto a la Renta, no se aprecia que se haga mención expresa a algún tipo de actividad empresarial específica. Por tanto, la obligación de </w:t>
      </w:r>
      <w:r>
        <w:rPr>
          <w:rFonts w:cs="Arial"/>
          <w:i/>
          <w:iCs/>
          <w:sz w:val="24"/>
          <w:szCs w:val="24"/>
        </w:rPr>
        <w:t>"</w:t>
      </w:r>
      <w:r w:rsidR="00D3111D" w:rsidRPr="001072C6">
        <w:rPr>
          <w:rFonts w:cs="Arial"/>
          <w:i/>
          <w:iCs/>
          <w:sz w:val="24"/>
          <w:szCs w:val="24"/>
        </w:rPr>
        <w:t>practicar inventarios</w:t>
      </w:r>
      <w:r>
        <w:rPr>
          <w:rFonts w:cs="Arial"/>
          <w:i/>
          <w:iCs/>
          <w:sz w:val="24"/>
          <w:szCs w:val="24"/>
        </w:rPr>
        <w:t>"</w:t>
      </w:r>
      <w:r w:rsidR="00D3111D" w:rsidRPr="001072C6">
        <w:rPr>
          <w:rFonts w:cs="Arial"/>
          <w:i/>
          <w:iCs/>
          <w:sz w:val="24"/>
          <w:szCs w:val="24"/>
        </w:rPr>
        <w:t xml:space="preserve"> es aplicable a todo tipo de empresa, sean éstas comerciales, extractivas</w:t>
      </w:r>
      <w:r w:rsidR="00D3111D" w:rsidRPr="001072C6">
        <w:rPr>
          <w:rFonts w:cs="Arial"/>
          <w:i/>
          <w:iCs/>
          <w:sz w:val="24"/>
          <w:szCs w:val="24"/>
          <w:vertAlign w:val="superscript"/>
        </w:rPr>
        <w:t>5</w:t>
      </w:r>
      <w:r w:rsidR="00D3111D" w:rsidRPr="001072C6">
        <w:rPr>
          <w:rFonts w:cs="Arial"/>
          <w:i/>
          <w:iCs/>
          <w:sz w:val="24"/>
          <w:szCs w:val="24"/>
        </w:rPr>
        <w:t>; industriales o que realicen algún proceso de transformación de la materia prima</w:t>
      </w:r>
      <w:r w:rsidR="00D3111D" w:rsidRPr="001072C6">
        <w:rPr>
          <w:rFonts w:cs="Arial"/>
          <w:i/>
          <w:iCs/>
          <w:sz w:val="24"/>
          <w:szCs w:val="24"/>
          <w:vertAlign w:val="superscript"/>
        </w:rPr>
        <w:t>6</w:t>
      </w:r>
      <w:r w:rsidR="00D3111D" w:rsidRPr="001072C6">
        <w:rPr>
          <w:rFonts w:cs="Arial"/>
          <w:i/>
          <w:iCs/>
          <w:sz w:val="24"/>
          <w:szCs w:val="24"/>
        </w:rPr>
        <w:t>, así como las empresas cuyo principal elemento es la capacidad humana para realizar trabajos físicos o intelectuales</w:t>
      </w:r>
      <w:r w:rsidR="00D3111D" w:rsidRPr="001072C6">
        <w:rPr>
          <w:rFonts w:cs="Arial"/>
          <w:i/>
          <w:iCs/>
          <w:sz w:val="24"/>
          <w:szCs w:val="24"/>
          <w:vertAlign w:val="superscript"/>
        </w:rPr>
        <w:t>7</w:t>
      </w:r>
      <w:r w:rsidR="00D3111D" w:rsidRPr="001072C6">
        <w:rPr>
          <w:rFonts w:cs="Arial"/>
          <w:i/>
          <w:iCs/>
          <w:sz w:val="24"/>
          <w:szCs w:val="24"/>
        </w:rPr>
        <w:t>.</w:t>
      </w:r>
    </w:p>
    <w:p w14:paraId="3637F51A" w14:textId="3B780947" w:rsidR="00D3111D" w:rsidRPr="001072C6" w:rsidRDefault="00D3111D" w:rsidP="003554A9">
      <w:pPr>
        <w:spacing w:before="120"/>
        <w:rPr>
          <w:rFonts w:cs="Arial"/>
          <w:i/>
          <w:iCs/>
          <w:sz w:val="24"/>
          <w:szCs w:val="24"/>
        </w:rPr>
      </w:pPr>
      <w:r w:rsidRPr="001072C6">
        <w:rPr>
          <w:rFonts w:cs="Arial"/>
          <w:i/>
          <w:iCs/>
          <w:sz w:val="24"/>
          <w:szCs w:val="24"/>
        </w:rPr>
        <w:t>Por otro lado, debe determinarse si el artículo 62 de la Ley del Impuesto a la Renta también obliga al control de los servicios calificados como inventarios.</w:t>
      </w:r>
    </w:p>
    <w:p w14:paraId="1BC2BB57" w14:textId="77777777" w:rsidR="00D3111D" w:rsidRPr="001072C6" w:rsidRDefault="00D3111D" w:rsidP="003554A9">
      <w:pPr>
        <w:spacing w:before="120"/>
        <w:rPr>
          <w:rFonts w:cs="Arial"/>
          <w:i/>
          <w:iCs/>
          <w:sz w:val="24"/>
          <w:szCs w:val="24"/>
        </w:rPr>
      </w:pPr>
      <w:r w:rsidRPr="001072C6">
        <w:rPr>
          <w:rFonts w:cs="Arial"/>
          <w:i/>
          <w:iCs/>
          <w:sz w:val="24"/>
          <w:szCs w:val="24"/>
        </w:rPr>
        <w:t>Sobre el particular, cabe mencionar que los proveedores de servicios pueden tener dos tipos de inventarios: a) aquellos constituidos por los suministros o materiales utilizados en la prestación de los servicios y b) aquellos que constituyen el producto resultante de la prestación de los servicios. Esto es, aquellas tareas o actividades realizadas para un cliente o una actividad desempeñada por un consumidor usando los activos de una empresa.</w:t>
      </w:r>
    </w:p>
    <w:p w14:paraId="1899CABB" w14:textId="636A0E78" w:rsidR="00D3111D" w:rsidRPr="001072C6" w:rsidRDefault="00D3111D" w:rsidP="003554A9">
      <w:pPr>
        <w:spacing w:before="120"/>
        <w:rPr>
          <w:rFonts w:cs="Arial"/>
          <w:i/>
          <w:iCs/>
          <w:sz w:val="24"/>
          <w:szCs w:val="24"/>
        </w:rPr>
      </w:pPr>
      <w:r w:rsidRPr="001072C6">
        <w:rPr>
          <w:rFonts w:cs="Arial"/>
          <w:i/>
          <w:iCs/>
          <w:sz w:val="24"/>
          <w:szCs w:val="24"/>
        </w:rPr>
        <w:t xml:space="preserve">Asimismo, se observa que los servicios difieren de los productos que son tangibles o materiales por tres aspectos importantes: a) Intangibilidad, porque los clientes no pueden ver, sentir, escuchar ni probar un servicio antes de adquirirlo; b) Temporalidad, debido a que los servicios no se pueden almacenar; y c) Inseparabilidad, por cuanto el prestador del servicio y sus clientes por lo general deben estar en contacto directo para que se realice la operación entre ellos. De esta manera, el resultado final de un servicio prestado constituye un producto </w:t>
      </w:r>
      <w:r w:rsidR="003554A9">
        <w:rPr>
          <w:rFonts w:cs="Arial"/>
          <w:i/>
          <w:iCs/>
          <w:sz w:val="24"/>
          <w:szCs w:val="24"/>
        </w:rPr>
        <w:t>"</w:t>
      </w:r>
      <w:r w:rsidRPr="001072C6">
        <w:rPr>
          <w:rFonts w:cs="Arial"/>
          <w:i/>
          <w:iCs/>
          <w:sz w:val="24"/>
          <w:szCs w:val="24"/>
        </w:rPr>
        <w:t>inmaterial</w:t>
      </w:r>
      <w:r w:rsidR="003554A9">
        <w:rPr>
          <w:rFonts w:cs="Arial"/>
          <w:i/>
          <w:iCs/>
          <w:sz w:val="24"/>
          <w:szCs w:val="24"/>
        </w:rPr>
        <w:t>"</w:t>
      </w:r>
      <w:r w:rsidRPr="001072C6">
        <w:rPr>
          <w:rFonts w:cs="Arial"/>
          <w:i/>
          <w:iCs/>
          <w:sz w:val="24"/>
          <w:szCs w:val="24"/>
        </w:rPr>
        <w:t>, que no es posible contar, medir, pesar ni almacenar</w:t>
      </w:r>
      <w:r w:rsidRPr="001072C6">
        <w:rPr>
          <w:rFonts w:cs="Arial"/>
          <w:i/>
          <w:iCs/>
          <w:sz w:val="24"/>
          <w:szCs w:val="24"/>
          <w:vertAlign w:val="superscript"/>
        </w:rPr>
        <w:t>8</w:t>
      </w:r>
      <w:r w:rsidRPr="001072C6">
        <w:rPr>
          <w:rFonts w:cs="Arial"/>
          <w:i/>
          <w:iCs/>
          <w:sz w:val="24"/>
          <w:szCs w:val="24"/>
        </w:rPr>
        <w:t>; por lo que no se encuentra dentro del alcance de la obligación formal prevista en el artículo 62 de la Ley del Impuesto a la Renta, dado que respecto del resultado de esta actividad no resulta posible practicar inventarios.</w:t>
      </w:r>
    </w:p>
    <w:p w14:paraId="4A8DCAE3" w14:textId="565BA98E" w:rsidR="00D3111D" w:rsidRPr="001072C6" w:rsidRDefault="00D3111D" w:rsidP="003554A9">
      <w:pPr>
        <w:spacing w:before="120"/>
        <w:rPr>
          <w:rFonts w:cs="Arial"/>
          <w:i/>
          <w:iCs/>
          <w:sz w:val="24"/>
          <w:szCs w:val="24"/>
        </w:rPr>
      </w:pPr>
      <w:r w:rsidRPr="001072C6">
        <w:rPr>
          <w:rFonts w:cs="Arial"/>
          <w:i/>
          <w:iCs/>
          <w:sz w:val="24"/>
          <w:szCs w:val="24"/>
        </w:rPr>
        <w:t xml:space="preserve">Ahora bien, se aprecia que cuando el segundo párrafo del artículo 62 de la Ley del Impuesto a la Renta menciona la obligación de </w:t>
      </w:r>
      <w:r w:rsidR="003554A9">
        <w:rPr>
          <w:rFonts w:cs="Arial"/>
          <w:i/>
          <w:iCs/>
          <w:sz w:val="24"/>
          <w:szCs w:val="24"/>
        </w:rPr>
        <w:t>"</w:t>
      </w:r>
      <w:r w:rsidRPr="001072C6">
        <w:rPr>
          <w:rFonts w:cs="Arial"/>
          <w:i/>
          <w:iCs/>
          <w:sz w:val="24"/>
          <w:szCs w:val="24"/>
        </w:rPr>
        <w:t>llevar inventarios</w:t>
      </w:r>
      <w:r w:rsidR="003554A9">
        <w:rPr>
          <w:rFonts w:cs="Arial"/>
          <w:i/>
          <w:iCs/>
          <w:sz w:val="24"/>
          <w:szCs w:val="24"/>
        </w:rPr>
        <w:t>"</w:t>
      </w:r>
      <w:r w:rsidRPr="001072C6">
        <w:rPr>
          <w:rFonts w:cs="Arial"/>
          <w:i/>
          <w:iCs/>
          <w:sz w:val="24"/>
          <w:szCs w:val="24"/>
        </w:rPr>
        <w:t>, se refiere al control de bienes susceptibles de medición a través de un método de valuación tributariamente aceptado</w:t>
      </w:r>
      <w:r w:rsidRPr="001072C6">
        <w:rPr>
          <w:rFonts w:cs="Arial"/>
          <w:i/>
          <w:iCs/>
          <w:sz w:val="24"/>
          <w:szCs w:val="24"/>
          <w:vertAlign w:val="superscript"/>
        </w:rPr>
        <w:t>9</w:t>
      </w:r>
      <w:r w:rsidRPr="001072C6">
        <w:rPr>
          <w:rFonts w:cs="Arial"/>
          <w:i/>
          <w:iCs/>
          <w:sz w:val="24"/>
          <w:szCs w:val="24"/>
        </w:rPr>
        <w:t xml:space="preserve">, esto es, a bienes corpóreos o materiales o contenidos en un soporte físico que constituyen materias primas y materiales, abastecimientos o suministros, productos terminados y en proceso de </w:t>
      </w:r>
      <w:r w:rsidRPr="001072C6">
        <w:rPr>
          <w:rFonts w:cs="Arial"/>
          <w:i/>
          <w:iCs/>
          <w:sz w:val="24"/>
          <w:szCs w:val="24"/>
        </w:rPr>
        <w:lastRenderedPageBreak/>
        <w:t>fabricación y mercancía en existencia, en tránsito, en depósito o consignada en poder de terceros; cuyas entradas y salidas físicas son susceptibles de ser observadas y comprobadas, mediante conteo, medición, almacenaje y/o pesaje, según corresponda.</w:t>
      </w:r>
    </w:p>
    <w:p w14:paraId="33EF97B5" w14:textId="5CD6BC1A" w:rsidR="00D3111D" w:rsidRPr="001072C6" w:rsidRDefault="00D3111D" w:rsidP="003554A9">
      <w:pPr>
        <w:spacing w:before="120"/>
        <w:rPr>
          <w:rFonts w:cs="Arial"/>
          <w:i/>
          <w:iCs/>
          <w:sz w:val="24"/>
          <w:szCs w:val="24"/>
        </w:rPr>
      </w:pPr>
      <w:r w:rsidRPr="001072C6">
        <w:rPr>
          <w:rFonts w:cs="Arial"/>
          <w:i/>
          <w:iCs/>
          <w:sz w:val="24"/>
          <w:szCs w:val="24"/>
        </w:rPr>
        <w:t>(</w:t>
      </w:r>
      <w:r w:rsidR="00904FAA">
        <w:rPr>
          <w:rFonts w:cs="Arial"/>
          <w:i/>
          <w:iCs/>
          <w:sz w:val="24"/>
          <w:szCs w:val="24"/>
        </w:rPr>
        <w:t>...</w:t>
      </w:r>
      <w:r w:rsidRPr="001072C6">
        <w:rPr>
          <w:rFonts w:cs="Arial"/>
          <w:i/>
          <w:iCs/>
          <w:sz w:val="24"/>
          <w:szCs w:val="24"/>
        </w:rPr>
        <w:t>)</w:t>
      </w:r>
      <w:r w:rsidR="00904FAA">
        <w:rPr>
          <w:rFonts w:cs="Arial"/>
          <w:i/>
          <w:iCs/>
          <w:sz w:val="24"/>
          <w:szCs w:val="24"/>
        </w:rPr>
        <w:t>.</w:t>
      </w:r>
    </w:p>
    <w:p w14:paraId="02FB5526" w14:textId="5A957CD5" w:rsidR="00D3111D" w:rsidRPr="001072C6" w:rsidRDefault="00D3111D" w:rsidP="003554A9">
      <w:pPr>
        <w:spacing w:before="120"/>
        <w:rPr>
          <w:rFonts w:cs="Arial"/>
          <w:i/>
          <w:iCs/>
          <w:sz w:val="24"/>
          <w:szCs w:val="24"/>
        </w:rPr>
      </w:pPr>
      <w:r w:rsidRPr="001072C6">
        <w:rPr>
          <w:rFonts w:cs="Arial"/>
          <w:i/>
          <w:iCs/>
          <w:sz w:val="24"/>
          <w:szCs w:val="24"/>
        </w:rPr>
        <w:t>En este sentido, conforme con el análisis efectuado, si bien la obligación de aplicar los deberes referidos a inventarios previstos por el artículo 62 de la Ley del Impuesto a la Renta y en el artículo 35 de su Reglamento, puede recaer sobre cualquier sujeto en función del nivel de ingresos brutos que obtenga</w:t>
      </w:r>
      <w:r w:rsidRPr="001072C6">
        <w:rPr>
          <w:rFonts w:cs="Arial"/>
          <w:i/>
          <w:iCs/>
          <w:sz w:val="24"/>
          <w:szCs w:val="24"/>
          <w:vertAlign w:val="superscript"/>
        </w:rPr>
        <w:t>10</w:t>
      </w:r>
      <w:r w:rsidRPr="001072C6">
        <w:rPr>
          <w:rFonts w:cs="Arial"/>
          <w:i/>
          <w:iCs/>
          <w:sz w:val="24"/>
          <w:szCs w:val="24"/>
        </w:rPr>
        <w:t>, sin importar su actividad (comercial, industrial o de servicio), ésta se encuentra condicionada a la posesión de bienes físicos, tangibles o corpóreos (observables y comprobables mediante su conteo, medición, pesaje y/o almacenaje) que sean utilizados en su actividad económica. Sin perjuicio del análisis que amerite cada actividad en concreto, se presenta el siguiente cuadro a manera de ejemplo:</w:t>
      </w:r>
    </w:p>
    <w:tbl>
      <w:tblPr>
        <w:tblStyle w:val="Tablaconcuadrcula"/>
        <w:tblW w:w="0" w:type="auto"/>
        <w:tblLook w:val="04A0" w:firstRow="1" w:lastRow="0" w:firstColumn="1" w:lastColumn="0" w:noHBand="0" w:noVBand="1"/>
      </w:tblPr>
      <w:tblGrid>
        <w:gridCol w:w="2831"/>
        <w:gridCol w:w="2831"/>
        <w:gridCol w:w="2832"/>
      </w:tblGrid>
      <w:tr w:rsidR="00984A68" w:rsidRPr="00984A68" w14:paraId="1C2A0479" w14:textId="77777777" w:rsidTr="00C50386">
        <w:tc>
          <w:tcPr>
            <w:tcW w:w="8494" w:type="dxa"/>
            <w:gridSpan w:val="3"/>
            <w:vAlign w:val="center"/>
          </w:tcPr>
          <w:p w14:paraId="1B6210C5" w14:textId="512AA24F" w:rsidR="00984A68" w:rsidRPr="00984A68" w:rsidRDefault="00984A68" w:rsidP="003554A9">
            <w:pPr>
              <w:spacing w:before="120"/>
              <w:jc w:val="center"/>
              <w:rPr>
                <w:rFonts w:cs="Arial"/>
                <w:b/>
                <w:bCs/>
                <w:i/>
                <w:iCs/>
                <w:szCs w:val="24"/>
              </w:rPr>
            </w:pPr>
            <w:r w:rsidRPr="00984A68">
              <w:rPr>
                <w:rFonts w:cs="Arial"/>
                <w:b/>
                <w:bCs/>
                <w:i/>
                <w:iCs/>
                <w:szCs w:val="24"/>
              </w:rPr>
              <w:t>Actividad empresarial</w:t>
            </w:r>
          </w:p>
        </w:tc>
      </w:tr>
      <w:tr w:rsidR="00A343BE" w:rsidRPr="00984A68" w14:paraId="22D5CC2C" w14:textId="77777777" w:rsidTr="00A343BE">
        <w:tc>
          <w:tcPr>
            <w:tcW w:w="2831" w:type="dxa"/>
            <w:vAlign w:val="center"/>
          </w:tcPr>
          <w:p w14:paraId="12FA648F" w14:textId="77777777" w:rsidR="00A343BE" w:rsidRPr="00984A68" w:rsidRDefault="00A343BE" w:rsidP="003554A9">
            <w:pPr>
              <w:spacing w:before="120"/>
              <w:jc w:val="center"/>
              <w:rPr>
                <w:rFonts w:cs="Arial"/>
                <w:b/>
                <w:bCs/>
                <w:i/>
                <w:iCs/>
                <w:szCs w:val="24"/>
              </w:rPr>
            </w:pPr>
            <w:r w:rsidRPr="00984A68">
              <w:rPr>
                <w:rFonts w:cs="Arial"/>
                <w:b/>
                <w:bCs/>
                <w:i/>
                <w:iCs/>
                <w:szCs w:val="24"/>
              </w:rPr>
              <w:t>Empresas Comerciales</w:t>
            </w:r>
          </w:p>
        </w:tc>
        <w:tc>
          <w:tcPr>
            <w:tcW w:w="2831" w:type="dxa"/>
            <w:vAlign w:val="center"/>
          </w:tcPr>
          <w:p w14:paraId="2AF08A2F" w14:textId="77777777" w:rsidR="00A343BE" w:rsidRPr="00984A68" w:rsidRDefault="00A343BE" w:rsidP="003554A9">
            <w:pPr>
              <w:spacing w:before="120"/>
              <w:jc w:val="center"/>
              <w:rPr>
                <w:rFonts w:cs="Arial"/>
                <w:b/>
                <w:bCs/>
                <w:i/>
                <w:iCs/>
                <w:szCs w:val="24"/>
              </w:rPr>
            </w:pPr>
            <w:r w:rsidRPr="00984A68">
              <w:rPr>
                <w:rFonts w:cs="Arial"/>
                <w:b/>
                <w:bCs/>
                <w:i/>
                <w:iCs/>
                <w:szCs w:val="24"/>
              </w:rPr>
              <w:t>Empresas Industriales o extractivas</w:t>
            </w:r>
          </w:p>
        </w:tc>
        <w:tc>
          <w:tcPr>
            <w:tcW w:w="2832" w:type="dxa"/>
            <w:vAlign w:val="center"/>
          </w:tcPr>
          <w:p w14:paraId="68F1E472" w14:textId="17E0608A" w:rsidR="00A343BE" w:rsidRPr="00984A68" w:rsidRDefault="00A343BE" w:rsidP="003554A9">
            <w:pPr>
              <w:spacing w:before="120"/>
              <w:jc w:val="center"/>
              <w:rPr>
                <w:rFonts w:cs="Arial"/>
                <w:b/>
                <w:bCs/>
                <w:i/>
                <w:iCs/>
                <w:szCs w:val="24"/>
              </w:rPr>
            </w:pPr>
            <w:r w:rsidRPr="00984A68">
              <w:rPr>
                <w:rFonts w:cs="Arial"/>
                <w:b/>
                <w:bCs/>
                <w:i/>
                <w:iCs/>
                <w:szCs w:val="24"/>
              </w:rPr>
              <w:t>Empresas de servicios</w:t>
            </w:r>
          </w:p>
        </w:tc>
      </w:tr>
      <w:tr w:rsidR="00A343BE" w:rsidRPr="00984A68" w14:paraId="47CBFAAD" w14:textId="77777777" w:rsidTr="00A343BE">
        <w:tc>
          <w:tcPr>
            <w:tcW w:w="2831" w:type="dxa"/>
          </w:tcPr>
          <w:p w14:paraId="7F0676E4" w14:textId="1F78C70C" w:rsidR="00A343BE" w:rsidRPr="00984A68" w:rsidRDefault="00A343BE" w:rsidP="003554A9">
            <w:pPr>
              <w:spacing w:before="120"/>
              <w:rPr>
                <w:rFonts w:cs="Arial"/>
                <w:i/>
                <w:iCs/>
                <w:szCs w:val="24"/>
              </w:rPr>
            </w:pPr>
            <w:r w:rsidRPr="00984A68">
              <w:rPr>
                <w:rFonts w:cs="Arial"/>
                <w:i/>
                <w:iCs/>
                <w:szCs w:val="24"/>
              </w:rPr>
              <w:t>1. Control de las mercaderías adquiridas y vendidas, ya sea a través de: a) Registro de Inventario Permanente en Unidades Físicas; o b) Registro de Inventario Permanente Valorizado, dependiendo del nivel de ingresos obtenidos durante el ejercicio precedente.</w:t>
            </w:r>
          </w:p>
        </w:tc>
        <w:tc>
          <w:tcPr>
            <w:tcW w:w="2831" w:type="dxa"/>
          </w:tcPr>
          <w:p w14:paraId="360C10E6" w14:textId="1757D450" w:rsidR="00A343BE" w:rsidRPr="00984A68" w:rsidRDefault="00A343BE" w:rsidP="003554A9">
            <w:pPr>
              <w:spacing w:before="120"/>
              <w:rPr>
                <w:rFonts w:cs="Arial"/>
                <w:i/>
                <w:iCs/>
                <w:szCs w:val="24"/>
              </w:rPr>
            </w:pPr>
            <w:r w:rsidRPr="00984A68">
              <w:rPr>
                <w:rFonts w:cs="Arial"/>
                <w:i/>
                <w:iCs/>
                <w:szCs w:val="24"/>
              </w:rPr>
              <w:t>1. Determinación del costo de productos en proceso y productos terminados, a través del Registro de Costos, si los ingresos brutos anuales durante el ejercicio precedente hayan sido mayores a 1 500 UIT del ejercicio en curso.</w:t>
            </w:r>
          </w:p>
        </w:tc>
        <w:tc>
          <w:tcPr>
            <w:tcW w:w="2832" w:type="dxa"/>
          </w:tcPr>
          <w:p w14:paraId="07F11C01" w14:textId="1FC6592D" w:rsidR="00A343BE" w:rsidRPr="00984A68" w:rsidRDefault="00A343BE" w:rsidP="003554A9">
            <w:pPr>
              <w:spacing w:before="120"/>
              <w:rPr>
                <w:rFonts w:cs="Arial"/>
                <w:i/>
                <w:iCs/>
                <w:szCs w:val="24"/>
              </w:rPr>
            </w:pPr>
            <w:r w:rsidRPr="00984A68">
              <w:rPr>
                <w:rFonts w:cs="Arial"/>
                <w:i/>
                <w:iCs/>
                <w:szCs w:val="24"/>
              </w:rPr>
              <w:t>1. Control de los bienes adquiridos y consumidos o utilizados en la prestación del servicio, ya sea a través de: a) Registro de Inventario Permanente en Unidades Físicas; o b) Registro de Inventario Permanente Valorizado, dependiendo del nivel de ingresos obtenidos durante el ejercicio precedente.</w:t>
            </w:r>
          </w:p>
        </w:tc>
      </w:tr>
      <w:tr w:rsidR="00A343BE" w:rsidRPr="00984A68" w14:paraId="15244FFE" w14:textId="77777777" w:rsidTr="00A343BE">
        <w:tc>
          <w:tcPr>
            <w:tcW w:w="2831" w:type="dxa"/>
          </w:tcPr>
          <w:p w14:paraId="775C8E0B" w14:textId="77777777" w:rsidR="00A343BE" w:rsidRPr="00984A68" w:rsidRDefault="00A343BE" w:rsidP="003554A9">
            <w:pPr>
              <w:spacing w:before="120"/>
              <w:rPr>
                <w:rFonts w:cs="Arial"/>
                <w:i/>
                <w:iCs/>
                <w:szCs w:val="24"/>
              </w:rPr>
            </w:pPr>
            <w:r w:rsidRPr="00984A68">
              <w:rPr>
                <w:rFonts w:cs="Arial"/>
                <w:i/>
                <w:iCs/>
                <w:szCs w:val="24"/>
              </w:rPr>
              <w:t>2.Control de los bienes adquiridos y consumidos o utilizados en otras actividades (como de venta o de administración), ya sea a través de: a) Registro de Inventario Permanente en Unidades Físicas; o b) Registro de Inventario Permanente Valorizado, dependiendo del nivel de ingresos obtenidos durante el ejercicio precedente.</w:t>
            </w:r>
          </w:p>
        </w:tc>
        <w:tc>
          <w:tcPr>
            <w:tcW w:w="2831" w:type="dxa"/>
          </w:tcPr>
          <w:p w14:paraId="34C23BFA" w14:textId="73CA5A37" w:rsidR="00A343BE" w:rsidRPr="00984A68" w:rsidRDefault="00A343BE" w:rsidP="003554A9">
            <w:pPr>
              <w:spacing w:before="120"/>
              <w:rPr>
                <w:rFonts w:cs="Arial"/>
                <w:i/>
                <w:iCs/>
                <w:szCs w:val="24"/>
              </w:rPr>
            </w:pPr>
            <w:r w:rsidRPr="00984A68">
              <w:rPr>
                <w:rFonts w:cs="Arial"/>
                <w:i/>
                <w:iCs/>
                <w:szCs w:val="24"/>
              </w:rPr>
              <w:t>2.Control de los bienes producidos y vendidos, así como de bienes adquiridos y consumidos o utilizados en la producción, ya sea a través de: a) Registro de Inventario Permanente en Unidades Físicas; o b) Registro de Inventario Permanente Valorizado, dependiendo del nivel de ingresos obtenidos durante el ejercicio precedente.</w:t>
            </w:r>
          </w:p>
        </w:tc>
        <w:tc>
          <w:tcPr>
            <w:tcW w:w="2832" w:type="dxa"/>
          </w:tcPr>
          <w:p w14:paraId="47013A3F" w14:textId="7AD86831" w:rsidR="00A343BE" w:rsidRPr="00984A68" w:rsidRDefault="00A343BE" w:rsidP="003554A9">
            <w:pPr>
              <w:spacing w:before="120"/>
              <w:rPr>
                <w:rFonts w:cs="Arial"/>
                <w:i/>
                <w:iCs/>
                <w:szCs w:val="24"/>
              </w:rPr>
            </w:pPr>
            <w:r w:rsidRPr="00984A68">
              <w:rPr>
                <w:rFonts w:cs="Arial"/>
                <w:i/>
                <w:iCs/>
                <w:szCs w:val="24"/>
              </w:rPr>
              <w:t>2. Control de los bienes adquiridos y consumidos o utilizados en otras actividades (como de venta o de administración), ya sea a través de: a) Registro de Inventario Permanente en Unidades Físicas; o b) Registro de Inventario Permanente Valorizado, dependiendo del nivel de ingresos obtenidos durante el ejercicio precedente</w:t>
            </w:r>
          </w:p>
        </w:tc>
      </w:tr>
      <w:tr w:rsidR="00A343BE" w:rsidRPr="00984A68" w14:paraId="01C3D3D3" w14:textId="77777777" w:rsidTr="00A343BE">
        <w:tc>
          <w:tcPr>
            <w:tcW w:w="2831" w:type="dxa"/>
          </w:tcPr>
          <w:p w14:paraId="2D1D733B" w14:textId="77777777" w:rsidR="00A343BE" w:rsidRPr="00984A68" w:rsidRDefault="00A343BE" w:rsidP="003554A9">
            <w:pPr>
              <w:spacing w:before="120"/>
              <w:rPr>
                <w:rFonts w:cs="Arial"/>
                <w:i/>
                <w:iCs/>
                <w:szCs w:val="24"/>
              </w:rPr>
            </w:pPr>
          </w:p>
        </w:tc>
        <w:tc>
          <w:tcPr>
            <w:tcW w:w="2831" w:type="dxa"/>
          </w:tcPr>
          <w:p w14:paraId="5DDA5B80" w14:textId="77777777" w:rsidR="00A343BE" w:rsidRPr="00984A68" w:rsidRDefault="00A343BE" w:rsidP="003554A9">
            <w:pPr>
              <w:spacing w:before="120"/>
              <w:rPr>
                <w:rFonts w:cs="Arial"/>
                <w:i/>
                <w:iCs/>
                <w:szCs w:val="24"/>
              </w:rPr>
            </w:pPr>
            <w:r w:rsidRPr="00984A68">
              <w:rPr>
                <w:rFonts w:cs="Arial"/>
                <w:i/>
                <w:iCs/>
                <w:szCs w:val="24"/>
              </w:rPr>
              <w:t>3.Control de los bienes adquiridos y consumidos o utilizados en otras actividades (como de venta o de administración), ya sea a través de:</w:t>
            </w:r>
          </w:p>
        </w:tc>
        <w:tc>
          <w:tcPr>
            <w:tcW w:w="2832" w:type="dxa"/>
          </w:tcPr>
          <w:p w14:paraId="05E908F4" w14:textId="77777777" w:rsidR="00A343BE" w:rsidRPr="00984A68" w:rsidRDefault="00A343BE" w:rsidP="003554A9">
            <w:pPr>
              <w:spacing w:before="120"/>
              <w:rPr>
                <w:rFonts w:cs="Arial"/>
                <w:i/>
                <w:iCs/>
                <w:szCs w:val="24"/>
              </w:rPr>
            </w:pPr>
            <w:r w:rsidRPr="00984A68">
              <w:rPr>
                <w:rFonts w:cs="Arial"/>
                <w:i/>
                <w:iCs/>
                <w:szCs w:val="24"/>
              </w:rPr>
              <w:t xml:space="preserve">a) Control de los bienes adquiridos y consumidos o utilizados en otras actividades (como de venta o de administración), ya sea a través de: Registro de Inventario Permanente en Unidades Físicas; o Registro de Inventario Permanente </w:t>
            </w:r>
            <w:r w:rsidRPr="00984A68">
              <w:rPr>
                <w:rFonts w:cs="Arial"/>
                <w:i/>
                <w:iCs/>
                <w:szCs w:val="24"/>
              </w:rPr>
              <w:lastRenderedPageBreak/>
              <w:t>Valorizado, dependiendo del nivel de ingresos obtenidos durante el ejercicio precedente.</w:t>
            </w:r>
          </w:p>
          <w:p w14:paraId="1CF518C4" w14:textId="58092F90" w:rsidR="00A343BE" w:rsidRPr="00984A68" w:rsidRDefault="00A343BE" w:rsidP="003554A9">
            <w:pPr>
              <w:spacing w:before="120"/>
              <w:rPr>
                <w:rFonts w:cs="Arial"/>
                <w:i/>
                <w:iCs/>
                <w:szCs w:val="24"/>
              </w:rPr>
            </w:pPr>
            <w:r w:rsidRPr="00984A68">
              <w:rPr>
                <w:rFonts w:cs="Arial"/>
                <w:i/>
                <w:iCs/>
                <w:szCs w:val="24"/>
              </w:rPr>
              <w:t>a) Registro de Inventario Permanente en Unidades Físicas; o b) Registro de Inventario Permanente Valorizado, dependiendo del nivel de ingresos obtenidos durante el ejercicio precedente.</w:t>
            </w:r>
          </w:p>
        </w:tc>
      </w:tr>
    </w:tbl>
    <w:p w14:paraId="0F4F2AF3" w14:textId="59E06564" w:rsidR="00A343BE" w:rsidRPr="001072C6" w:rsidRDefault="00A343BE" w:rsidP="003554A9">
      <w:pPr>
        <w:spacing w:before="120"/>
        <w:rPr>
          <w:rFonts w:cs="Arial"/>
          <w:sz w:val="24"/>
          <w:szCs w:val="24"/>
        </w:rPr>
      </w:pPr>
      <w:r w:rsidRPr="001072C6">
        <w:rPr>
          <w:rFonts w:cs="Arial"/>
          <w:sz w:val="24"/>
          <w:szCs w:val="24"/>
        </w:rPr>
        <w:lastRenderedPageBreak/>
        <w:t>(</w:t>
      </w:r>
      <w:r w:rsidR="00904FAA">
        <w:rPr>
          <w:rFonts w:cs="Arial"/>
          <w:sz w:val="24"/>
          <w:szCs w:val="24"/>
        </w:rPr>
        <w:t>...</w:t>
      </w:r>
      <w:r w:rsidRPr="001072C6">
        <w:rPr>
          <w:rFonts w:cs="Arial"/>
          <w:sz w:val="24"/>
          <w:szCs w:val="24"/>
        </w:rPr>
        <w:t>)</w:t>
      </w:r>
      <w:r w:rsidR="00904FAA">
        <w:rPr>
          <w:rFonts w:cs="Arial"/>
          <w:sz w:val="24"/>
          <w:szCs w:val="24"/>
        </w:rPr>
        <w:t>.</w:t>
      </w:r>
      <w:r w:rsidR="003554A9">
        <w:rPr>
          <w:rFonts w:cs="Arial"/>
          <w:sz w:val="24"/>
          <w:szCs w:val="24"/>
        </w:rPr>
        <w:t>"</w:t>
      </w:r>
    </w:p>
    <w:p w14:paraId="6056866F" w14:textId="145F7225" w:rsidR="00D3111D" w:rsidRPr="001072C6" w:rsidRDefault="00D3111D" w:rsidP="003554A9">
      <w:pPr>
        <w:spacing w:before="120"/>
        <w:rPr>
          <w:rFonts w:cs="Arial"/>
          <w:sz w:val="24"/>
          <w:szCs w:val="24"/>
        </w:rPr>
      </w:pPr>
      <w:r w:rsidRPr="001072C6">
        <w:rPr>
          <w:rFonts w:cs="Arial"/>
          <w:sz w:val="24"/>
          <w:szCs w:val="24"/>
        </w:rPr>
        <w:t xml:space="preserve">Que dicho criterio tiene carácter vinculante para todos los vocales de este Tribunal, según lo establecido por el Acuerdo recogido en el Acta de Reunión de Sala Plena N.° 2002-10 de 17 de setiembre </w:t>
      </w:r>
      <w:r w:rsidR="00A343BE" w:rsidRPr="001072C6">
        <w:rPr>
          <w:rFonts w:cs="Arial"/>
          <w:sz w:val="24"/>
          <w:szCs w:val="24"/>
        </w:rPr>
        <w:t>del 2002</w:t>
      </w:r>
      <w:r w:rsidRPr="001072C6">
        <w:rPr>
          <w:rFonts w:cs="Arial"/>
          <w:sz w:val="24"/>
          <w:szCs w:val="24"/>
        </w:rPr>
        <w:t>.</w:t>
      </w:r>
    </w:p>
    <w:p w14:paraId="72702F7B" w14:textId="2CAAB282" w:rsidR="00D3111D" w:rsidRPr="001072C6" w:rsidRDefault="00D3111D" w:rsidP="003554A9">
      <w:pPr>
        <w:spacing w:before="120"/>
        <w:rPr>
          <w:rFonts w:cs="Arial"/>
          <w:sz w:val="24"/>
          <w:szCs w:val="24"/>
        </w:rPr>
      </w:pPr>
      <w:r w:rsidRPr="001072C6">
        <w:rPr>
          <w:rFonts w:cs="Arial"/>
          <w:sz w:val="24"/>
          <w:szCs w:val="24"/>
        </w:rPr>
        <w:t xml:space="preserve">Que en tal sentido, conforme con el inciso a) del artículo 35 del Reglamento de la Ley del Impuesto a la Renta y el Acuerdo de Sala Plena, antes glosados, las </w:t>
      </w:r>
      <w:r w:rsidRPr="001072C6">
        <w:rPr>
          <w:rFonts w:cs="Arial"/>
          <w:sz w:val="24"/>
          <w:szCs w:val="24"/>
          <w:u w:val="single"/>
        </w:rPr>
        <w:t>empresas de servicios</w:t>
      </w:r>
      <w:r w:rsidRPr="001072C6">
        <w:rPr>
          <w:rFonts w:cs="Arial"/>
          <w:sz w:val="24"/>
          <w:szCs w:val="24"/>
        </w:rPr>
        <w:t xml:space="preserve"> tienen como obligación llevar un Registro de Inventario Permanente en Unidades Físicas y un Registro de Inventario Permanente Valorizado respecto de los bienes adquiridos y consumidos o utilizados en la prestación del servicio, esto es, cuando cuente con inventarios y cuando sus ingresos brutos anuales durante el ejercicio precedente hayan sido mayores o iguales a 1500 Unidades Impositivas Tributarias del ejercicio en curso.</w:t>
      </w:r>
    </w:p>
    <w:p w14:paraId="54DA75BF" w14:textId="72DDA3F6" w:rsidR="00D3111D" w:rsidRPr="001072C6" w:rsidRDefault="00D3111D" w:rsidP="003554A9">
      <w:pPr>
        <w:spacing w:before="120"/>
        <w:rPr>
          <w:rFonts w:cs="Arial"/>
          <w:sz w:val="24"/>
          <w:szCs w:val="24"/>
        </w:rPr>
      </w:pPr>
      <w:r w:rsidRPr="001072C6">
        <w:rPr>
          <w:rFonts w:cs="Arial"/>
          <w:sz w:val="24"/>
          <w:szCs w:val="24"/>
        </w:rPr>
        <w:t>Que en ese sentido, como se ha analizado en los fundamentos del citado criterio vinculante, el artículo 35 del reglamento de la Ley del Impuesto a la Renta no se ha limitado a considerar que los deudores tributarios, a efectos del control de sus inventarios y la contabilización de sus costos, únicamente deben tener en cuenta el nivel de sus ingresos brutos anuales, sino que además se debe verificar si practican inventarios</w:t>
      </w:r>
      <w:r w:rsidRPr="001072C6">
        <w:rPr>
          <w:rFonts w:cs="Arial"/>
          <w:sz w:val="24"/>
          <w:szCs w:val="24"/>
          <w:vertAlign w:val="superscript"/>
        </w:rPr>
        <w:t>11</w:t>
      </w:r>
      <w:r w:rsidRPr="001072C6">
        <w:rPr>
          <w:rFonts w:cs="Arial"/>
          <w:sz w:val="24"/>
          <w:szCs w:val="24"/>
        </w:rPr>
        <w:t>, es decir si administran o gestionan inventarios físicos o materiales; y siendo que del Resultado del Requerimiento N.° 0222090007496 (fojas 1253 a 1265), se aprecia que se dejó constancia que del libro mayor proporcionado por la recurrente, registró movimientos, en cuentas contables vinculadas a inventarios y contabilidad de costos, como adquisiciones de materias primas, materias auxiliares, suministros, entre otros, lo que no ha sido desvirtuado por la misma, se concluye que la recurrente estaba obligada a cumplir con las exigencias formales previstas por el artículo 35 del Reglamento de la Ley del Impuesto a la Renta para el citado ejercicio 2008, correspondiendo confirmar la apelada.</w:t>
      </w:r>
    </w:p>
    <w:p w14:paraId="4B35094C" w14:textId="00BD86E0" w:rsidR="00D3111D" w:rsidRPr="001072C6" w:rsidRDefault="00D3111D" w:rsidP="003554A9">
      <w:pPr>
        <w:spacing w:before="120"/>
        <w:rPr>
          <w:rFonts w:cs="Arial"/>
          <w:sz w:val="24"/>
          <w:szCs w:val="24"/>
        </w:rPr>
      </w:pPr>
      <w:r w:rsidRPr="001072C6">
        <w:rPr>
          <w:rFonts w:cs="Arial"/>
          <w:sz w:val="24"/>
          <w:szCs w:val="24"/>
        </w:rPr>
        <w:t xml:space="preserve">Que respecto al argumento de la recurrente referido a que la resolución de multa es nula, toda vez que derivó de un procedimiento de fiscalización referido al Impuesto General a las Ventas y no al Impuesto a la Renta, ni obligaciones formales establecidas en el Código Tributario, cabe señalar que los Registros de Costos, Inventario Permanente en Unidades, e Inventario Permanente Valorizado, permiten verificar la contabilización de los bienes comprados y utilizados en la prestación de los servicios que sustentan el crédito y débito fiscal, por lo que dicho requerimiento se dio en el ejercicio de la facultad de fiscalización de la Administración a efecto de fiscalizar el crédito fiscal de </w:t>
      </w:r>
      <w:r w:rsidRPr="001072C6">
        <w:rPr>
          <w:rFonts w:cs="Arial"/>
          <w:sz w:val="24"/>
          <w:szCs w:val="24"/>
        </w:rPr>
        <w:lastRenderedPageBreak/>
        <w:t>adquisiciones y compras así como el débito fiscal de ventas y prestaciones de servicios que había consignado en sus declaraciones juradas del</w:t>
      </w:r>
      <w:r w:rsidR="00A343BE" w:rsidRPr="001072C6">
        <w:rPr>
          <w:rFonts w:cs="Arial"/>
          <w:sz w:val="24"/>
          <w:szCs w:val="24"/>
        </w:rPr>
        <w:t xml:space="preserve"> </w:t>
      </w:r>
      <w:r w:rsidRPr="001072C6">
        <w:rPr>
          <w:rFonts w:cs="Arial"/>
          <w:sz w:val="24"/>
          <w:szCs w:val="24"/>
        </w:rPr>
        <w:t>Impuesto General a las Ventas de enero a diciembre del 2008, careciendo de sustento lo alegado al respecto.</w:t>
      </w:r>
    </w:p>
    <w:p w14:paraId="4CB2836C" w14:textId="675A37EE" w:rsidR="00D3111D" w:rsidRPr="001072C6" w:rsidRDefault="00D3111D" w:rsidP="003554A9">
      <w:pPr>
        <w:spacing w:before="120"/>
        <w:rPr>
          <w:rFonts w:cs="Arial"/>
          <w:sz w:val="24"/>
          <w:szCs w:val="24"/>
        </w:rPr>
      </w:pPr>
      <w:r w:rsidRPr="001072C6">
        <w:rPr>
          <w:rFonts w:cs="Arial"/>
          <w:sz w:val="24"/>
          <w:szCs w:val="24"/>
        </w:rPr>
        <w:t>Que sobre lo alegado por la recurrente respecto a que no corresponde la aplicación de intereses ni sanciones en virtud al numeral 2 del artículo 170 del Código Tributario, toda vez que en las Resoluciones N.° 00267-5-2004 y 07717-12005 se señaló que la obligación de llevar un Registro de Inventario Permanente solo recaía en los contribuyentes que por la naturaleza de sus actividades registraban entradas y salidas de bienes, lo que implicaba que cuenten con existencias destinadas a la comercialización, cabe señalar que este Tribunal en las citadas resoluciones, contrariamente a lo alegado por el recurrente, no señala que la obligatoriedad de llevar el citado registro sea exclusivamente de los contribuyentes que cuenten con existencias destinadas a la comercialización, por lo que dicho alegato carece de sustento.</w:t>
      </w:r>
    </w:p>
    <w:p w14:paraId="7768A5C4" w14:textId="77777777" w:rsidR="00D3111D" w:rsidRPr="001072C6" w:rsidRDefault="00D3111D" w:rsidP="003554A9">
      <w:pPr>
        <w:spacing w:before="120"/>
        <w:rPr>
          <w:rFonts w:cs="Arial"/>
          <w:sz w:val="24"/>
          <w:szCs w:val="24"/>
        </w:rPr>
      </w:pPr>
      <w:r w:rsidRPr="001072C6">
        <w:rPr>
          <w:rFonts w:cs="Arial"/>
          <w:sz w:val="24"/>
          <w:szCs w:val="24"/>
        </w:rPr>
        <w:t>Que el informe oral se llevó a cabo con los representantes de ambas partes, según se verifica de foja 1526.</w:t>
      </w:r>
    </w:p>
    <w:p w14:paraId="04AC40C0" w14:textId="77777777" w:rsidR="00D3111D" w:rsidRPr="001072C6" w:rsidRDefault="00D3111D" w:rsidP="003554A9">
      <w:pPr>
        <w:spacing w:before="120"/>
        <w:rPr>
          <w:rFonts w:cs="Arial"/>
          <w:sz w:val="24"/>
          <w:szCs w:val="24"/>
        </w:rPr>
      </w:pPr>
      <w:r w:rsidRPr="001072C6">
        <w:rPr>
          <w:rFonts w:cs="Arial"/>
          <w:sz w:val="24"/>
          <w:szCs w:val="24"/>
        </w:rPr>
        <w:t>Con los vocales Ramírez Mío, Huertas Lizarzaburu, a quien se llamó para completar Sala, e interviniendo como ponente la vocal Zúñiga Dulanto</w:t>
      </w:r>
    </w:p>
    <w:p w14:paraId="5F3CB2A1" w14:textId="7CF94E04" w:rsidR="00D3111D" w:rsidRPr="001072C6" w:rsidRDefault="00D3111D" w:rsidP="003554A9">
      <w:pPr>
        <w:spacing w:before="120"/>
        <w:rPr>
          <w:rFonts w:cs="Arial"/>
          <w:b/>
          <w:bCs/>
          <w:sz w:val="24"/>
          <w:szCs w:val="24"/>
        </w:rPr>
      </w:pPr>
      <w:r w:rsidRPr="001072C6">
        <w:rPr>
          <w:rFonts w:cs="Arial"/>
          <w:b/>
          <w:bCs/>
          <w:sz w:val="24"/>
          <w:szCs w:val="24"/>
        </w:rPr>
        <w:t>R</w:t>
      </w:r>
      <w:r w:rsidR="001072C6" w:rsidRPr="001072C6">
        <w:rPr>
          <w:rFonts w:cs="Arial"/>
          <w:b/>
          <w:bCs/>
          <w:sz w:val="24"/>
          <w:szCs w:val="24"/>
        </w:rPr>
        <w:t>esuelve:</w:t>
      </w:r>
    </w:p>
    <w:p w14:paraId="7304C0FD" w14:textId="77777777" w:rsidR="001072C6" w:rsidRPr="001072C6" w:rsidRDefault="001072C6" w:rsidP="003554A9">
      <w:pPr>
        <w:spacing w:before="120"/>
        <w:rPr>
          <w:rFonts w:cs="Arial"/>
          <w:sz w:val="24"/>
          <w:szCs w:val="24"/>
        </w:rPr>
      </w:pPr>
      <w:r w:rsidRPr="001072C6">
        <w:rPr>
          <w:rFonts w:cs="Arial"/>
          <w:b/>
          <w:bCs/>
          <w:sz w:val="24"/>
          <w:szCs w:val="24"/>
        </w:rPr>
        <w:t>Confirmar</w:t>
      </w:r>
      <w:r w:rsidR="00D3111D" w:rsidRPr="001072C6">
        <w:rPr>
          <w:rFonts w:cs="Arial"/>
          <w:sz w:val="24"/>
          <w:szCs w:val="24"/>
        </w:rPr>
        <w:t xml:space="preserve"> la Resolución de Intendencia N.° 0250140018081/Sunat de 31 de octubre del 2011.</w:t>
      </w:r>
    </w:p>
    <w:p w14:paraId="2215CFDC" w14:textId="5B6A549E" w:rsidR="00D3111D" w:rsidRPr="001072C6" w:rsidRDefault="00D3111D" w:rsidP="003554A9">
      <w:pPr>
        <w:spacing w:before="120"/>
        <w:rPr>
          <w:rFonts w:cs="Arial"/>
          <w:sz w:val="24"/>
          <w:szCs w:val="24"/>
        </w:rPr>
      </w:pPr>
      <w:r w:rsidRPr="001072C6">
        <w:rPr>
          <w:rFonts w:cs="Arial"/>
          <w:sz w:val="24"/>
          <w:szCs w:val="24"/>
        </w:rPr>
        <w:t>Regístrese, comuníquese y remítase a la Sunat, para sus efectos.</w:t>
      </w:r>
    </w:p>
    <w:p w14:paraId="193D16EE" w14:textId="26EDFB6D" w:rsidR="001072C6" w:rsidRPr="001072C6" w:rsidRDefault="001072C6" w:rsidP="003554A9">
      <w:pPr>
        <w:spacing w:before="120"/>
        <w:rPr>
          <w:rFonts w:cs="Arial"/>
          <w:sz w:val="24"/>
          <w:szCs w:val="24"/>
        </w:rPr>
      </w:pPr>
      <w:r w:rsidRPr="001072C6">
        <w:rPr>
          <w:rFonts w:cs="Arial"/>
          <w:sz w:val="24"/>
          <w:szCs w:val="24"/>
        </w:rPr>
        <w:t>Zúñiga Dulanto</w:t>
      </w:r>
    </w:p>
    <w:p w14:paraId="12D34411" w14:textId="0EDE235B" w:rsidR="001072C6" w:rsidRPr="001072C6" w:rsidRDefault="001072C6" w:rsidP="003554A9">
      <w:pPr>
        <w:spacing w:before="120"/>
        <w:rPr>
          <w:rFonts w:cs="Arial"/>
          <w:sz w:val="24"/>
          <w:szCs w:val="24"/>
        </w:rPr>
      </w:pPr>
      <w:r w:rsidRPr="001072C6">
        <w:rPr>
          <w:rFonts w:cs="Arial"/>
          <w:sz w:val="24"/>
          <w:szCs w:val="24"/>
        </w:rPr>
        <w:t>Vocal Presidenta</w:t>
      </w:r>
    </w:p>
    <w:p w14:paraId="7AFF0105" w14:textId="11FA65D1" w:rsidR="001072C6" w:rsidRPr="001072C6" w:rsidRDefault="001072C6" w:rsidP="003554A9">
      <w:pPr>
        <w:spacing w:before="120"/>
        <w:rPr>
          <w:rFonts w:cs="Arial"/>
          <w:sz w:val="24"/>
          <w:szCs w:val="24"/>
        </w:rPr>
      </w:pPr>
      <w:r w:rsidRPr="001072C6">
        <w:rPr>
          <w:rFonts w:cs="Arial"/>
          <w:sz w:val="24"/>
          <w:szCs w:val="24"/>
        </w:rPr>
        <w:t>Ramírez Mío</w:t>
      </w:r>
    </w:p>
    <w:p w14:paraId="4E20C3BD" w14:textId="41E5B998" w:rsidR="001072C6" w:rsidRPr="001072C6" w:rsidRDefault="001072C6" w:rsidP="003554A9">
      <w:pPr>
        <w:spacing w:before="120"/>
        <w:rPr>
          <w:rFonts w:cs="Arial"/>
          <w:sz w:val="24"/>
          <w:szCs w:val="24"/>
        </w:rPr>
      </w:pPr>
      <w:r w:rsidRPr="001072C6">
        <w:rPr>
          <w:rFonts w:cs="Arial"/>
          <w:sz w:val="24"/>
          <w:szCs w:val="24"/>
        </w:rPr>
        <w:t>Vocal</w:t>
      </w:r>
    </w:p>
    <w:p w14:paraId="7D9BC1E4" w14:textId="77777777" w:rsidR="001072C6" w:rsidRPr="001072C6" w:rsidRDefault="001072C6" w:rsidP="003554A9">
      <w:pPr>
        <w:spacing w:before="120"/>
        <w:rPr>
          <w:rFonts w:cs="Arial"/>
          <w:sz w:val="24"/>
          <w:szCs w:val="24"/>
        </w:rPr>
      </w:pPr>
      <w:r w:rsidRPr="001072C6">
        <w:rPr>
          <w:rFonts w:cs="Arial"/>
          <w:sz w:val="24"/>
          <w:szCs w:val="24"/>
        </w:rPr>
        <w:t>Huertas Lizarzaburu</w:t>
      </w:r>
    </w:p>
    <w:p w14:paraId="154EC3F2" w14:textId="7573FC1C" w:rsidR="00D3111D" w:rsidRPr="001072C6" w:rsidRDefault="001072C6" w:rsidP="003554A9">
      <w:pPr>
        <w:spacing w:before="120"/>
        <w:rPr>
          <w:rFonts w:cs="Arial"/>
          <w:sz w:val="24"/>
          <w:szCs w:val="24"/>
        </w:rPr>
      </w:pPr>
      <w:r w:rsidRPr="001072C6">
        <w:rPr>
          <w:rFonts w:cs="Arial"/>
          <w:sz w:val="24"/>
          <w:szCs w:val="24"/>
        </w:rPr>
        <w:t>Vocal</w:t>
      </w:r>
    </w:p>
    <w:p w14:paraId="0976F8CA" w14:textId="77777777" w:rsidR="001072C6" w:rsidRPr="001072C6" w:rsidRDefault="00D3111D" w:rsidP="003554A9">
      <w:pPr>
        <w:spacing w:before="120"/>
        <w:rPr>
          <w:rFonts w:cs="Arial"/>
          <w:sz w:val="24"/>
          <w:szCs w:val="24"/>
        </w:rPr>
      </w:pPr>
      <w:r w:rsidRPr="001072C6">
        <w:rPr>
          <w:rFonts w:cs="Arial"/>
          <w:sz w:val="24"/>
          <w:szCs w:val="24"/>
        </w:rPr>
        <w:t>Huertas Valladares</w:t>
      </w:r>
    </w:p>
    <w:p w14:paraId="60C6958D" w14:textId="291FD6CF" w:rsidR="00D3111D" w:rsidRPr="001072C6" w:rsidRDefault="00D3111D" w:rsidP="003554A9">
      <w:pPr>
        <w:spacing w:before="120"/>
        <w:rPr>
          <w:rFonts w:cs="Arial"/>
          <w:sz w:val="24"/>
          <w:szCs w:val="24"/>
        </w:rPr>
      </w:pPr>
      <w:r w:rsidRPr="001072C6">
        <w:rPr>
          <w:rFonts w:cs="Arial"/>
          <w:sz w:val="24"/>
          <w:szCs w:val="24"/>
        </w:rPr>
        <w:t>Secretaria Relatora</w:t>
      </w:r>
    </w:p>
    <w:p w14:paraId="1282E530" w14:textId="0F6E68FC" w:rsidR="002017D0" w:rsidRPr="001072C6" w:rsidRDefault="00D3111D" w:rsidP="003554A9">
      <w:pPr>
        <w:spacing w:before="120"/>
        <w:rPr>
          <w:rFonts w:cs="Arial"/>
          <w:sz w:val="24"/>
          <w:szCs w:val="24"/>
        </w:rPr>
      </w:pPr>
      <w:r w:rsidRPr="001072C6">
        <w:rPr>
          <w:rFonts w:cs="Arial"/>
          <w:sz w:val="24"/>
          <w:szCs w:val="24"/>
        </w:rPr>
        <w:t>__________</w:t>
      </w:r>
    </w:p>
    <w:p w14:paraId="319EA533" w14:textId="77777777" w:rsidR="00D3111D" w:rsidRPr="001072C6" w:rsidRDefault="00D3111D" w:rsidP="003554A9">
      <w:pPr>
        <w:spacing w:before="120"/>
        <w:rPr>
          <w:rFonts w:cs="Arial"/>
          <w:szCs w:val="24"/>
        </w:rPr>
      </w:pPr>
      <w:r w:rsidRPr="001072C6">
        <w:rPr>
          <w:rFonts w:cs="Arial"/>
          <w:szCs w:val="24"/>
        </w:rPr>
        <w:t>1 Vigente desde el 6 de octubre del 2004.</w:t>
      </w:r>
    </w:p>
    <w:p w14:paraId="4210EEE1" w14:textId="77777777" w:rsidR="00D3111D" w:rsidRPr="001072C6" w:rsidRDefault="00D3111D" w:rsidP="003554A9">
      <w:pPr>
        <w:spacing w:before="120"/>
        <w:rPr>
          <w:rFonts w:cs="Arial"/>
          <w:szCs w:val="24"/>
        </w:rPr>
      </w:pPr>
      <w:r w:rsidRPr="001072C6">
        <w:rPr>
          <w:rFonts w:cs="Arial"/>
          <w:szCs w:val="24"/>
        </w:rPr>
        <w:t>2 El artículo 35 del Reglamento de la Ley del Impuesto a la Renta, aprobado por Decreto Supremo N.° 122-94-EF, antes de la modificación dispuesta por el Decreto Supremo N.° 134-2004-EF, disponía que los contribuyentes, empresas o sociedades debían llevar sus inventarios y contabilizar sus costos de acuerdo a las reglas establecidas en dicho artículo, señalando en su inciso a) que cuando los ingresos brutos anuales de los contribuyentes, durante el ejercicio precedente, hubiesen sido mayores a 1,500 unidades impositivas tributarias del ejercicio en curso, aquellos debían llevar un sistema de contabilidad de costos.</w:t>
      </w:r>
    </w:p>
    <w:p w14:paraId="66E73464" w14:textId="77777777" w:rsidR="00D3111D" w:rsidRPr="001072C6" w:rsidRDefault="00D3111D" w:rsidP="003554A9">
      <w:pPr>
        <w:spacing w:before="120"/>
        <w:rPr>
          <w:rFonts w:cs="Arial"/>
          <w:szCs w:val="24"/>
        </w:rPr>
      </w:pPr>
      <w:r w:rsidRPr="001072C6">
        <w:rPr>
          <w:rFonts w:cs="Arial"/>
          <w:szCs w:val="24"/>
        </w:rPr>
        <w:t>3 Criterio establecido en la Resolución de Tribunal Fiscal N.° 10239-8-2015.</w:t>
      </w:r>
    </w:p>
    <w:p w14:paraId="4ED1C901" w14:textId="58634A9E" w:rsidR="00D3111D" w:rsidRPr="001072C6" w:rsidRDefault="00D3111D" w:rsidP="003554A9">
      <w:pPr>
        <w:spacing w:before="120"/>
        <w:rPr>
          <w:rFonts w:cs="Arial"/>
          <w:szCs w:val="24"/>
        </w:rPr>
      </w:pPr>
      <w:r w:rsidRPr="001072C6">
        <w:rPr>
          <w:rFonts w:cs="Arial"/>
          <w:szCs w:val="24"/>
        </w:rPr>
        <w:lastRenderedPageBreak/>
        <w:t xml:space="preserve">4 Notificado en el domicilio fiscal de la recurrente el 10 de agosto del 2009 </w:t>
      </w:r>
      <w:r w:rsidR="001072C6" w:rsidRPr="001072C6">
        <w:rPr>
          <w:rFonts w:cs="Arial"/>
          <w:szCs w:val="24"/>
        </w:rPr>
        <w:t>(</w:t>
      </w:r>
      <w:r w:rsidRPr="001072C6">
        <w:rPr>
          <w:rFonts w:cs="Arial"/>
          <w:szCs w:val="24"/>
        </w:rPr>
        <w:t xml:space="preserve">foja 1290), mediante acuse de recibo, de acuerdo con lo previsto por el inciso a) del artículo 104 del mencionado Código Tributario, según el cual, la notificación de los actos administrativos se realizará por correo certificado o por mensajero, en el domicilio fiscal, con acuse de recibo o con certificación de la negativa a la recepción efectuada por el encargado de la diligencia. El acuse de recibo deberá contener, como mínimo: </w:t>
      </w:r>
      <w:r w:rsidR="001072C6" w:rsidRPr="001072C6">
        <w:rPr>
          <w:rFonts w:cs="Arial"/>
          <w:szCs w:val="24"/>
        </w:rPr>
        <w:t>(</w:t>
      </w:r>
      <w:r w:rsidRPr="001072C6">
        <w:rPr>
          <w:rFonts w:cs="Arial"/>
          <w:szCs w:val="24"/>
        </w:rPr>
        <w:t xml:space="preserve">i) Apellidos y nombres, denominación o razón social del deudor tributario; </w:t>
      </w:r>
      <w:r w:rsidR="001072C6" w:rsidRPr="001072C6">
        <w:rPr>
          <w:rFonts w:cs="Arial"/>
          <w:szCs w:val="24"/>
        </w:rPr>
        <w:t>(</w:t>
      </w:r>
      <w:r w:rsidRPr="001072C6">
        <w:rPr>
          <w:rFonts w:cs="Arial"/>
          <w:szCs w:val="24"/>
        </w:rPr>
        <w:t xml:space="preserve">ii) Número de RUC del deudor tributario o número del documento de identificación que corresponda; </w:t>
      </w:r>
      <w:r w:rsidR="001072C6" w:rsidRPr="001072C6">
        <w:rPr>
          <w:rFonts w:cs="Arial"/>
          <w:szCs w:val="24"/>
        </w:rPr>
        <w:t>(</w:t>
      </w:r>
      <w:r w:rsidRPr="001072C6">
        <w:rPr>
          <w:rFonts w:cs="Arial"/>
          <w:szCs w:val="24"/>
        </w:rPr>
        <w:t xml:space="preserve">iii) Número de documento que se notifica; </w:t>
      </w:r>
      <w:r w:rsidR="001072C6" w:rsidRPr="001072C6">
        <w:rPr>
          <w:rFonts w:cs="Arial"/>
          <w:szCs w:val="24"/>
        </w:rPr>
        <w:t>(</w:t>
      </w:r>
      <w:r w:rsidRPr="001072C6">
        <w:rPr>
          <w:rFonts w:cs="Arial"/>
          <w:szCs w:val="24"/>
        </w:rPr>
        <w:t xml:space="preserve">iv) Nombre de quien recibe y su firma, o la constancia de la negativa; y </w:t>
      </w:r>
      <w:r w:rsidR="001072C6" w:rsidRPr="001072C6">
        <w:rPr>
          <w:rFonts w:cs="Arial"/>
          <w:szCs w:val="24"/>
        </w:rPr>
        <w:t>(</w:t>
      </w:r>
      <w:r w:rsidRPr="001072C6">
        <w:rPr>
          <w:rFonts w:cs="Arial"/>
          <w:szCs w:val="24"/>
        </w:rPr>
        <w:t>v) Fecha en que se realiza la notificación.</w:t>
      </w:r>
    </w:p>
    <w:p w14:paraId="7F314E35" w14:textId="77777777" w:rsidR="00D3111D" w:rsidRPr="001072C6" w:rsidRDefault="00D3111D" w:rsidP="003554A9">
      <w:pPr>
        <w:spacing w:before="120"/>
        <w:rPr>
          <w:rFonts w:cs="Arial"/>
          <w:szCs w:val="24"/>
        </w:rPr>
      </w:pPr>
      <w:r w:rsidRPr="001072C6">
        <w:rPr>
          <w:rFonts w:cs="Arial"/>
          <w:szCs w:val="24"/>
        </w:rPr>
        <w:t>5 Cuyo elemento básico de la actividad se obtiene directamente de la naturaleza: agricultura, ganadería, caza, pesca, extracción de áridos, recursos hídricos, minerales, petróleo, etc.</w:t>
      </w:r>
    </w:p>
    <w:p w14:paraId="21923B65" w14:textId="77777777" w:rsidR="00D3111D" w:rsidRPr="001072C6" w:rsidRDefault="00D3111D" w:rsidP="003554A9">
      <w:pPr>
        <w:spacing w:before="120"/>
        <w:rPr>
          <w:rFonts w:cs="Arial"/>
          <w:szCs w:val="24"/>
        </w:rPr>
      </w:pPr>
      <w:r w:rsidRPr="001072C6">
        <w:rPr>
          <w:rFonts w:cs="Arial"/>
          <w:szCs w:val="24"/>
        </w:rPr>
        <w:t>6 Lo que abarca actividades tan diversas como la construcción, la azucarera, la alimentaria, la maderera, la textil, etc.</w:t>
      </w:r>
    </w:p>
    <w:p w14:paraId="01FD5A27" w14:textId="77777777" w:rsidR="00D3111D" w:rsidRPr="001072C6" w:rsidRDefault="00D3111D" w:rsidP="003554A9">
      <w:pPr>
        <w:spacing w:before="120"/>
        <w:rPr>
          <w:rFonts w:cs="Arial"/>
          <w:szCs w:val="24"/>
        </w:rPr>
      </w:pPr>
      <w:r w:rsidRPr="001072C6">
        <w:rPr>
          <w:rFonts w:cs="Arial"/>
          <w:szCs w:val="24"/>
        </w:rPr>
        <w:t>7 Lo que incluye también una gran variedad de empresas, como las de transporte, las financieras y bancarias, comercio, seguros, hotelería, asesoría, educación, expendio de comida, etc.</w:t>
      </w:r>
    </w:p>
    <w:p w14:paraId="6F783014" w14:textId="77777777" w:rsidR="00D3111D" w:rsidRPr="001072C6" w:rsidRDefault="00D3111D" w:rsidP="003554A9">
      <w:pPr>
        <w:spacing w:before="120"/>
        <w:rPr>
          <w:rFonts w:cs="Arial"/>
          <w:szCs w:val="24"/>
        </w:rPr>
      </w:pPr>
      <w:r w:rsidRPr="001072C6">
        <w:rPr>
          <w:rFonts w:cs="Arial"/>
          <w:szCs w:val="24"/>
        </w:rPr>
        <w:t xml:space="preserve">8 Al respecto, véase: Hansen, Don y Mowen, Maryanne, </w:t>
      </w:r>
      <w:r w:rsidRPr="001072C6">
        <w:rPr>
          <w:rFonts w:cs="Arial"/>
          <w:i/>
          <w:iCs/>
          <w:szCs w:val="24"/>
        </w:rPr>
        <w:t>Administración de Costos: Contabilidad y Control</w:t>
      </w:r>
      <w:r w:rsidRPr="001072C6">
        <w:rPr>
          <w:rFonts w:cs="Arial"/>
          <w:szCs w:val="24"/>
        </w:rPr>
        <w:t>, International Thomson Editores, 2003, México D.F., p. 45.</w:t>
      </w:r>
    </w:p>
    <w:p w14:paraId="4117955E" w14:textId="253650CE" w:rsidR="00A343BE" w:rsidRPr="001072C6" w:rsidRDefault="00A343BE" w:rsidP="003554A9">
      <w:pPr>
        <w:spacing w:before="120"/>
        <w:rPr>
          <w:rFonts w:cs="Arial"/>
          <w:szCs w:val="24"/>
        </w:rPr>
      </w:pPr>
      <w:r w:rsidRPr="001072C6">
        <w:rPr>
          <w:rFonts w:cs="Arial"/>
          <w:szCs w:val="24"/>
        </w:rPr>
        <w:t xml:space="preserve">9 No debe dejarse de considerar que el primer párrafo del citado artículo ordena valuar los inventarios conforme con su </w:t>
      </w:r>
      <w:r w:rsidR="003554A9">
        <w:rPr>
          <w:rFonts w:cs="Arial"/>
          <w:szCs w:val="24"/>
        </w:rPr>
        <w:t>"</w:t>
      </w:r>
      <w:r w:rsidRPr="001072C6">
        <w:rPr>
          <w:rFonts w:cs="Arial"/>
          <w:szCs w:val="24"/>
        </w:rPr>
        <w:t>costo de adquisición</w:t>
      </w:r>
      <w:r w:rsidR="003554A9">
        <w:rPr>
          <w:rFonts w:cs="Arial"/>
          <w:szCs w:val="24"/>
        </w:rPr>
        <w:t>"</w:t>
      </w:r>
      <w:r w:rsidRPr="001072C6">
        <w:rPr>
          <w:rFonts w:cs="Arial"/>
          <w:szCs w:val="24"/>
        </w:rPr>
        <w:t xml:space="preserve"> o </w:t>
      </w:r>
      <w:r w:rsidR="003554A9">
        <w:rPr>
          <w:rFonts w:cs="Arial"/>
          <w:szCs w:val="24"/>
        </w:rPr>
        <w:t>"</w:t>
      </w:r>
      <w:r w:rsidRPr="001072C6">
        <w:rPr>
          <w:rFonts w:cs="Arial"/>
          <w:szCs w:val="24"/>
        </w:rPr>
        <w:t>costo de producción</w:t>
      </w:r>
      <w:r w:rsidR="003554A9">
        <w:rPr>
          <w:rFonts w:cs="Arial"/>
          <w:szCs w:val="24"/>
        </w:rPr>
        <w:t>"</w:t>
      </w:r>
      <w:r w:rsidRPr="001072C6">
        <w:rPr>
          <w:rFonts w:cs="Arial"/>
          <w:szCs w:val="24"/>
        </w:rPr>
        <w:t>, conceptos que han sido definidos por la propia Ley del Impuesto a la Renta.</w:t>
      </w:r>
    </w:p>
    <w:p w14:paraId="40CA10C3" w14:textId="77777777" w:rsidR="00A343BE" w:rsidRPr="001072C6" w:rsidRDefault="00A343BE" w:rsidP="003554A9">
      <w:pPr>
        <w:spacing w:before="120"/>
        <w:rPr>
          <w:rFonts w:cs="Arial"/>
          <w:szCs w:val="24"/>
        </w:rPr>
      </w:pPr>
      <w:r w:rsidRPr="001072C6">
        <w:rPr>
          <w:rFonts w:cs="Arial"/>
          <w:szCs w:val="24"/>
        </w:rPr>
        <w:t>10 En cuanto al momento en el que surge la obligación de llevar inventarios, cabe precisar que las obligaciones dispuestas por el artículo 35 del Reglamento de la Ley del Impuesto a la Renta, surgen a partir del 1 de enero de cada ejercicio gravable y a lo largo del ejercicio, teniendo en consideración el tipo de registro que se encuentre obligado el contribuyente a llevar según el nivel de los ingresos brutos anuales. En efecto, atendiendo a los plazos de atraso dispuestos por la Resolución N.° 234-2006/Sunat se tiene que el Registro de Inventario Permanente en Unidades Físicas debe llevarse con un atraso no mayor de un mes, contado desde el primer día hábil del mes siguiente de realizadas las operaciones relacionadas con la entrada o salida de bienes; mientras que el plazo máximo de atraso en el caso del Registro de Inventario Permanente Valorizado es de tres meses desde el primer día hábil del mes siguiente de realizadas las operaciones relacionadas con la entrada o salida de los bienes. Finalmente, en el caso del Registro de Costos, el plazo máximo de atraso es de tres meses contados desde el día hábil siguiente al cierre del ejercicio gravable. De ello, se advierte que únicamente en el caso del Registro de Costos su exigencia se genera una vez concluido el ejercicio gravable, considerando que el contribuyente que se encuentra obligado a llevarlo tiene un plazo de atraso de hasta tres meses siguientes al cierre del ejercicio gravable.</w:t>
      </w:r>
    </w:p>
    <w:p w14:paraId="22F1EBF9" w14:textId="77777777" w:rsidR="00A343BE" w:rsidRPr="001072C6" w:rsidRDefault="00A343BE" w:rsidP="003554A9">
      <w:pPr>
        <w:spacing w:before="120"/>
        <w:rPr>
          <w:rFonts w:cs="Arial"/>
          <w:szCs w:val="24"/>
        </w:rPr>
      </w:pPr>
      <w:r w:rsidRPr="001072C6">
        <w:rPr>
          <w:rFonts w:cs="Arial"/>
          <w:szCs w:val="24"/>
        </w:rPr>
        <w:t>En relación con las empresas que recién inician sus actividades, cabe indicar que no existe una norma específica que establezca los criterios que se deben considerar. Ante tal ausencia normativa, se considera pertinente aplicarlo dispuesto por el segundo párrafo del inciso a) del artículo 38 del Reglamento de la Ley del Impuesto a la Renta, aplicable para el llevado de los libros y registros contables, por lo que al tratarse de un requisito que se vincula al llevado de los registros contables, en el caso de perceptores de rentas de tercera categoría que inicien actividades generadoras de estas rentas en el transcurso del ejercicio se considerarían los ingresos que presuman que obtendrán en éste.</w:t>
      </w:r>
    </w:p>
    <w:p w14:paraId="2CD0131F" w14:textId="5D4AB452" w:rsidR="00A343BE" w:rsidRPr="001072C6" w:rsidRDefault="00A343BE" w:rsidP="003554A9">
      <w:pPr>
        <w:spacing w:before="120"/>
        <w:rPr>
          <w:rFonts w:cs="Arial"/>
        </w:rPr>
      </w:pPr>
      <w:r w:rsidRPr="001072C6">
        <w:rPr>
          <w:rFonts w:cs="Arial"/>
          <w:szCs w:val="24"/>
        </w:rPr>
        <w:t xml:space="preserve">11 Al respecto, la Resolución N.° 04289-8-2015 señala que la expresión </w:t>
      </w:r>
      <w:r w:rsidR="003554A9">
        <w:rPr>
          <w:rFonts w:cs="Arial"/>
          <w:szCs w:val="24"/>
        </w:rPr>
        <w:t>"</w:t>
      </w:r>
      <w:r w:rsidRPr="001072C6">
        <w:rPr>
          <w:rFonts w:cs="Arial"/>
          <w:szCs w:val="24"/>
        </w:rPr>
        <w:t>practicar inventario</w:t>
      </w:r>
      <w:r w:rsidR="003554A9">
        <w:rPr>
          <w:rFonts w:cs="Arial"/>
          <w:szCs w:val="24"/>
        </w:rPr>
        <w:t>"</w:t>
      </w:r>
      <w:r w:rsidRPr="001072C6">
        <w:rPr>
          <w:rFonts w:cs="Arial"/>
          <w:szCs w:val="24"/>
        </w:rPr>
        <w:t xml:space="preserve">, a que se refiere el artículo 62 de la Ley del Impuesto a la Renta, comprende la acción de ejecutar, hacer o llevar a cabo la identificación, conteo, pesaje y medición de los bienes que una empresa posee para destinarlos a la enajenación y de aquellos destinados al consumo para la producción de bienes y la prestación de servicios, esto es, se trata de actividades (contar, pesar y medir) que solo son predicables respecto de bienes que tienen materialidad. Esta afirmación se corrobora del penúltimo párrafo del artículo 35 del Reglamento de la Ley del Impuesto a la Renta, cuando señala que en los registros establecidos en dicho artículo se debe acreditar las </w:t>
      </w:r>
      <w:r w:rsidR="003554A9">
        <w:rPr>
          <w:rFonts w:cs="Arial"/>
          <w:szCs w:val="24"/>
        </w:rPr>
        <w:t>"</w:t>
      </w:r>
      <w:r w:rsidRPr="001072C6">
        <w:rPr>
          <w:rFonts w:cs="Arial"/>
          <w:szCs w:val="24"/>
        </w:rPr>
        <w:t>unidades producidas</w:t>
      </w:r>
      <w:r w:rsidR="003554A9">
        <w:rPr>
          <w:rFonts w:cs="Arial"/>
          <w:szCs w:val="24"/>
        </w:rPr>
        <w:t>"</w:t>
      </w:r>
      <w:r w:rsidRPr="001072C6">
        <w:rPr>
          <w:rFonts w:cs="Arial"/>
          <w:szCs w:val="24"/>
        </w:rPr>
        <w:t xml:space="preserve"> y el </w:t>
      </w:r>
      <w:r w:rsidR="003554A9">
        <w:rPr>
          <w:rFonts w:cs="Arial"/>
          <w:szCs w:val="24"/>
        </w:rPr>
        <w:t>"</w:t>
      </w:r>
      <w:r w:rsidRPr="001072C6">
        <w:rPr>
          <w:rFonts w:cs="Arial"/>
          <w:szCs w:val="24"/>
        </w:rPr>
        <w:t>costo unitario de los artículos</w:t>
      </w:r>
      <w:r w:rsidR="003554A9">
        <w:rPr>
          <w:rFonts w:cs="Arial"/>
          <w:szCs w:val="24"/>
        </w:rPr>
        <w:t>"</w:t>
      </w:r>
      <w:r w:rsidRPr="001072C6">
        <w:rPr>
          <w:rFonts w:cs="Arial"/>
          <w:szCs w:val="24"/>
        </w:rPr>
        <w:t xml:space="preserve"> que aparezcan en sus </w:t>
      </w:r>
      <w:r w:rsidR="003554A9">
        <w:rPr>
          <w:rFonts w:cs="Arial"/>
          <w:szCs w:val="24"/>
        </w:rPr>
        <w:lastRenderedPageBreak/>
        <w:t>"</w:t>
      </w:r>
      <w:r w:rsidRPr="001072C6">
        <w:rPr>
          <w:rFonts w:cs="Arial"/>
          <w:szCs w:val="24"/>
        </w:rPr>
        <w:t>inventarios finales</w:t>
      </w:r>
      <w:r w:rsidR="003554A9">
        <w:rPr>
          <w:rFonts w:cs="Arial"/>
          <w:szCs w:val="24"/>
        </w:rPr>
        <w:t>"</w:t>
      </w:r>
      <w:r w:rsidRPr="001072C6">
        <w:rPr>
          <w:rFonts w:cs="Arial"/>
          <w:szCs w:val="24"/>
        </w:rPr>
        <w:t>, con la finalidad de mostrar el costo real de éstos; lo que evidencia que se trata del control de bienes físicos o materiales.</w:t>
      </w:r>
    </w:p>
    <w:p w14:paraId="4F40C0B5" w14:textId="7EDDB509" w:rsidR="001072C6" w:rsidRPr="001072C6" w:rsidRDefault="001072C6" w:rsidP="003554A9">
      <w:pPr>
        <w:spacing w:before="120"/>
        <w:jc w:val="center"/>
        <w:rPr>
          <w:rFonts w:cs="Arial"/>
        </w:rPr>
      </w:pPr>
      <w:r w:rsidRPr="001072C6">
        <w:rPr>
          <w:rFonts w:cs="Arial"/>
        </w:rPr>
        <w:t>Documento publicado en la página web del Tribunal Fiscal.</w:t>
      </w:r>
    </w:p>
    <w:sectPr w:rsidR="001072C6" w:rsidRPr="001072C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B667E" w14:textId="77777777" w:rsidR="00940837" w:rsidRDefault="00940837" w:rsidP="001072C6">
      <w:r>
        <w:separator/>
      </w:r>
    </w:p>
  </w:endnote>
  <w:endnote w:type="continuationSeparator" w:id="0">
    <w:p w14:paraId="66CBCA74" w14:textId="77777777" w:rsidR="00940837" w:rsidRDefault="00940837" w:rsidP="0010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C6A4" w14:textId="30C2D34E" w:rsidR="001072C6" w:rsidRPr="003554A9" w:rsidRDefault="001072C6" w:rsidP="003554A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3EC89EB" wp14:editId="06F2698B">
          <wp:extent cx="1276350" cy="30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1F82C" w14:textId="77777777" w:rsidR="00940837" w:rsidRDefault="00940837" w:rsidP="001072C6">
      <w:r>
        <w:separator/>
      </w:r>
    </w:p>
  </w:footnote>
  <w:footnote w:type="continuationSeparator" w:id="0">
    <w:p w14:paraId="504FF876" w14:textId="77777777" w:rsidR="00940837" w:rsidRDefault="00940837" w:rsidP="0010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A55F" w14:textId="6C7452ED" w:rsidR="001072C6" w:rsidRDefault="001072C6" w:rsidP="003554A9">
    <w:pPr>
      <w:pStyle w:val="Encabezado"/>
      <w:spacing w:after="240"/>
    </w:pPr>
    <w:r>
      <w:rPr>
        <w:noProof/>
        <w:lang w:eastAsia="es-PE"/>
      </w:rPr>
      <w:drawing>
        <wp:inline distT="0" distB="0" distL="0" distR="0" wp14:anchorId="6FDD7C75" wp14:editId="243F2276">
          <wp:extent cx="1506855" cy="5340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40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1D"/>
    <w:rsid w:val="0002405D"/>
    <w:rsid w:val="000526BE"/>
    <w:rsid w:val="00096CEC"/>
    <w:rsid w:val="001072C6"/>
    <w:rsid w:val="00133291"/>
    <w:rsid w:val="002017D0"/>
    <w:rsid w:val="003554A9"/>
    <w:rsid w:val="00580259"/>
    <w:rsid w:val="00615327"/>
    <w:rsid w:val="007F0EA7"/>
    <w:rsid w:val="008066EB"/>
    <w:rsid w:val="008F2267"/>
    <w:rsid w:val="00904FAA"/>
    <w:rsid w:val="00940837"/>
    <w:rsid w:val="00984A68"/>
    <w:rsid w:val="009A5D1A"/>
    <w:rsid w:val="00A343BE"/>
    <w:rsid w:val="00AA3083"/>
    <w:rsid w:val="00BB3261"/>
    <w:rsid w:val="00C32D53"/>
    <w:rsid w:val="00D3111D"/>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5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A3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72C6"/>
    <w:pPr>
      <w:tabs>
        <w:tab w:val="center" w:pos="4252"/>
        <w:tab w:val="right" w:pos="8504"/>
      </w:tabs>
    </w:pPr>
  </w:style>
  <w:style w:type="character" w:customStyle="1" w:styleId="EncabezadoCar">
    <w:name w:val="Encabezado Car"/>
    <w:basedOn w:val="Fuentedeprrafopredeter"/>
    <w:link w:val="Encabezado"/>
    <w:uiPriority w:val="99"/>
    <w:rsid w:val="001072C6"/>
    <w:rPr>
      <w:rFonts w:ascii="Arial" w:hAnsi="Arial"/>
      <w:sz w:val="20"/>
    </w:rPr>
  </w:style>
  <w:style w:type="paragraph" w:styleId="Piedepgina">
    <w:name w:val="footer"/>
    <w:basedOn w:val="Normal"/>
    <w:link w:val="PiedepginaCar"/>
    <w:uiPriority w:val="99"/>
    <w:unhideWhenUsed/>
    <w:rsid w:val="001072C6"/>
    <w:pPr>
      <w:tabs>
        <w:tab w:val="center" w:pos="4252"/>
        <w:tab w:val="right" w:pos="8504"/>
      </w:tabs>
    </w:pPr>
  </w:style>
  <w:style w:type="character" w:customStyle="1" w:styleId="PiedepginaCar">
    <w:name w:val="Pie de página Car"/>
    <w:basedOn w:val="Fuentedeprrafopredeter"/>
    <w:link w:val="Piedepgina"/>
    <w:uiPriority w:val="99"/>
    <w:rsid w:val="001072C6"/>
    <w:rPr>
      <w:rFonts w:ascii="Arial" w:hAnsi="Arial"/>
      <w:sz w:val="20"/>
    </w:rPr>
  </w:style>
  <w:style w:type="paragraph" w:styleId="Textodeglobo">
    <w:name w:val="Balloon Text"/>
    <w:basedOn w:val="Normal"/>
    <w:link w:val="TextodegloboCar"/>
    <w:uiPriority w:val="99"/>
    <w:semiHidden/>
    <w:unhideWhenUsed/>
    <w:rsid w:val="003554A9"/>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A3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72C6"/>
    <w:pPr>
      <w:tabs>
        <w:tab w:val="center" w:pos="4252"/>
        <w:tab w:val="right" w:pos="8504"/>
      </w:tabs>
    </w:pPr>
  </w:style>
  <w:style w:type="character" w:customStyle="1" w:styleId="EncabezadoCar">
    <w:name w:val="Encabezado Car"/>
    <w:basedOn w:val="Fuentedeprrafopredeter"/>
    <w:link w:val="Encabezado"/>
    <w:uiPriority w:val="99"/>
    <w:rsid w:val="001072C6"/>
    <w:rPr>
      <w:rFonts w:ascii="Arial" w:hAnsi="Arial"/>
      <w:sz w:val="20"/>
    </w:rPr>
  </w:style>
  <w:style w:type="paragraph" w:styleId="Piedepgina">
    <w:name w:val="footer"/>
    <w:basedOn w:val="Normal"/>
    <w:link w:val="PiedepginaCar"/>
    <w:uiPriority w:val="99"/>
    <w:unhideWhenUsed/>
    <w:rsid w:val="001072C6"/>
    <w:pPr>
      <w:tabs>
        <w:tab w:val="center" w:pos="4252"/>
        <w:tab w:val="right" w:pos="8504"/>
      </w:tabs>
    </w:pPr>
  </w:style>
  <w:style w:type="character" w:customStyle="1" w:styleId="PiedepginaCar">
    <w:name w:val="Pie de página Car"/>
    <w:basedOn w:val="Fuentedeprrafopredeter"/>
    <w:link w:val="Piedepgina"/>
    <w:uiPriority w:val="99"/>
    <w:rsid w:val="001072C6"/>
    <w:rPr>
      <w:rFonts w:ascii="Arial" w:hAnsi="Arial"/>
      <w:sz w:val="20"/>
    </w:rPr>
  </w:style>
  <w:style w:type="paragraph" w:styleId="Textodeglobo">
    <w:name w:val="Balloon Text"/>
    <w:basedOn w:val="Normal"/>
    <w:link w:val="TextodegloboCar"/>
    <w:uiPriority w:val="99"/>
    <w:semiHidden/>
    <w:unhideWhenUsed/>
    <w:rsid w:val="003554A9"/>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5081</Words>
  <Characters>27950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3</cp:revision>
  <dcterms:created xsi:type="dcterms:W3CDTF">2025-09-23T16:55:00Z</dcterms:created>
  <dcterms:modified xsi:type="dcterms:W3CDTF">2025-09-23T19:15:00Z</dcterms:modified>
</cp:coreProperties>
</file>