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9754" w14:textId="77777777" w:rsidR="0066257D" w:rsidRPr="0066257D" w:rsidRDefault="0066257D" w:rsidP="0066257D">
      <w:pPr>
        <w:spacing w:before="120"/>
        <w:jc w:val="center"/>
        <w:rPr>
          <w:rFonts w:cs="Arial"/>
          <w:b/>
          <w:sz w:val="24"/>
          <w:szCs w:val="24"/>
        </w:rPr>
      </w:pPr>
      <w:r w:rsidRPr="0066257D">
        <w:rPr>
          <w:rFonts w:cs="Arial"/>
          <w:b/>
          <w:sz w:val="24"/>
          <w:szCs w:val="24"/>
        </w:rPr>
        <w:t>Disponen publicación del proyecto de resolución ministerial que deroga la Resolución Ministerial N° 336-2018-Vivienda y aprueba el Reglamento operativo del bono de protección de viviendas vulnerables a los riesgos sísmicos, así como del texto del citado proyecto de reglamento operativo</w:t>
      </w:r>
    </w:p>
    <w:p w14:paraId="1E9C4B5B" w14:textId="77777777" w:rsidR="0066257D" w:rsidRPr="0066257D" w:rsidRDefault="0066257D" w:rsidP="0066257D">
      <w:pPr>
        <w:spacing w:before="120"/>
        <w:jc w:val="center"/>
        <w:rPr>
          <w:rFonts w:cs="Arial"/>
          <w:b/>
          <w:sz w:val="24"/>
          <w:szCs w:val="24"/>
        </w:rPr>
      </w:pPr>
      <w:r w:rsidRPr="0066257D">
        <w:rPr>
          <w:rFonts w:cs="Arial"/>
          <w:b/>
          <w:sz w:val="24"/>
          <w:szCs w:val="24"/>
        </w:rPr>
        <w:t>Resolución Ministerial N.° 232-2025-Vivienda</w:t>
      </w:r>
    </w:p>
    <w:p w14:paraId="6D03B3BA" w14:textId="77777777" w:rsidR="0066257D" w:rsidRPr="0066257D" w:rsidRDefault="0066257D" w:rsidP="0066257D">
      <w:pPr>
        <w:spacing w:before="120"/>
        <w:rPr>
          <w:rFonts w:cs="Arial"/>
          <w:sz w:val="24"/>
          <w:szCs w:val="24"/>
        </w:rPr>
      </w:pPr>
      <w:r w:rsidRPr="0066257D">
        <w:rPr>
          <w:rFonts w:cs="Arial"/>
          <w:sz w:val="24"/>
          <w:szCs w:val="24"/>
        </w:rPr>
        <w:t>Lima, 5 de setiembre de 2025</w:t>
      </w:r>
    </w:p>
    <w:p w14:paraId="4212E653" w14:textId="77777777" w:rsidR="0066257D" w:rsidRPr="0066257D" w:rsidRDefault="0066257D" w:rsidP="0066257D">
      <w:pPr>
        <w:spacing w:before="120"/>
        <w:rPr>
          <w:rFonts w:cs="Arial"/>
          <w:sz w:val="24"/>
          <w:szCs w:val="24"/>
        </w:rPr>
      </w:pPr>
      <w:r w:rsidRPr="0066257D">
        <w:rPr>
          <w:rFonts w:cs="Arial"/>
          <w:sz w:val="24"/>
          <w:szCs w:val="24"/>
        </w:rPr>
        <w:t>Vistos:</w:t>
      </w:r>
    </w:p>
    <w:p w14:paraId="6A1ACC73" w14:textId="77777777" w:rsidR="0066257D" w:rsidRPr="0066257D" w:rsidRDefault="0066257D" w:rsidP="0066257D">
      <w:pPr>
        <w:spacing w:before="120"/>
        <w:rPr>
          <w:rFonts w:cs="Arial"/>
          <w:sz w:val="24"/>
          <w:szCs w:val="24"/>
        </w:rPr>
      </w:pPr>
      <w:r w:rsidRPr="0066257D">
        <w:rPr>
          <w:rFonts w:cs="Arial"/>
          <w:sz w:val="24"/>
          <w:szCs w:val="24"/>
        </w:rPr>
        <w:t>El Informe N.° 181-2025-Vivienda/</w:t>
      </w:r>
      <w:proofErr w:type="spellStart"/>
      <w:r w:rsidRPr="0066257D">
        <w:rPr>
          <w:rFonts w:cs="Arial"/>
          <w:sz w:val="24"/>
          <w:szCs w:val="24"/>
        </w:rPr>
        <w:t>VMVU-DGPPVU</w:t>
      </w:r>
      <w:proofErr w:type="spellEnd"/>
      <w:r w:rsidRPr="0066257D">
        <w:rPr>
          <w:rFonts w:cs="Arial"/>
          <w:sz w:val="24"/>
          <w:szCs w:val="24"/>
        </w:rPr>
        <w:t xml:space="preserve"> de la Dirección General de Programas y Proyectos en Vivienda y Urbanismo (</w:t>
      </w:r>
      <w:proofErr w:type="spellStart"/>
      <w:r w:rsidRPr="0066257D">
        <w:rPr>
          <w:rFonts w:cs="Arial"/>
          <w:sz w:val="24"/>
          <w:szCs w:val="24"/>
        </w:rPr>
        <w:t>DGPPVU</w:t>
      </w:r>
      <w:proofErr w:type="spellEnd"/>
      <w:r w:rsidRPr="0066257D">
        <w:rPr>
          <w:rFonts w:cs="Arial"/>
          <w:sz w:val="24"/>
          <w:szCs w:val="24"/>
        </w:rPr>
        <w:t>); el Informe N.° 714-2025-Vivienda/SG-</w:t>
      </w:r>
      <w:proofErr w:type="spellStart"/>
      <w:r w:rsidRPr="0066257D">
        <w:rPr>
          <w:rFonts w:cs="Arial"/>
          <w:sz w:val="24"/>
          <w:szCs w:val="24"/>
        </w:rPr>
        <w:t>OGAJ</w:t>
      </w:r>
      <w:proofErr w:type="spellEnd"/>
      <w:r w:rsidRPr="0066257D">
        <w:rPr>
          <w:rFonts w:cs="Arial"/>
          <w:sz w:val="24"/>
          <w:szCs w:val="24"/>
        </w:rPr>
        <w:t xml:space="preserve"> de la Oficina General de Asesoría Jurídica (</w:t>
      </w:r>
      <w:proofErr w:type="spellStart"/>
      <w:r w:rsidRPr="0066257D">
        <w:rPr>
          <w:rFonts w:cs="Arial"/>
          <w:sz w:val="24"/>
          <w:szCs w:val="24"/>
        </w:rPr>
        <w:t>OGAJ</w:t>
      </w:r>
      <w:proofErr w:type="spellEnd"/>
      <w:r w:rsidRPr="0066257D">
        <w:rPr>
          <w:rFonts w:cs="Arial"/>
          <w:sz w:val="24"/>
          <w:szCs w:val="24"/>
        </w:rPr>
        <w:t>); y,</w:t>
      </w:r>
    </w:p>
    <w:p w14:paraId="212250DD" w14:textId="77777777" w:rsidR="0066257D" w:rsidRPr="0066257D" w:rsidRDefault="0066257D" w:rsidP="0066257D">
      <w:pPr>
        <w:spacing w:before="120"/>
        <w:rPr>
          <w:rFonts w:cs="Arial"/>
          <w:sz w:val="24"/>
          <w:szCs w:val="24"/>
        </w:rPr>
      </w:pPr>
      <w:r w:rsidRPr="0066257D">
        <w:rPr>
          <w:rFonts w:cs="Arial"/>
          <w:sz w:val="24"/>
          <w:szCs w:val="24"/>
        </w:rPr>
        <w:t>Considerando:</w:t>
      </w:r>
    </w:p>
    <w:p w14:paraId="3C84F624" w14:textId="77777777" w:rsidR="0066257D" w:rsidRPr="0066257D" w:rsidRDefault="0066257D" w:rsidP="0066257D">
      <w:pPr>
        <w:spacing w:before="120"/>
        <w:rPr>
          <w:rFonts w:cs="Arial"/>
          <w:sz w:val="24"/>
          <w:szCs w:val="24"/>
        </w:rPr>
      </w:pPr>
      <w:r w:rsidRPr="0066257D">
        <w:rPr>
          <w:rFonts w:cs="Arial"/>
          <w:sz w:val="24"/>
          <w:szCs w:val="24"/>
        </w:rPr>
        <w:t>Que, el artículo 4° de la Ley N.° 30156, Ley de Organización y Funciones del Ministerio de Vivienda, Construcción y Saneamiento, establece que el citado ministerio tiene como finalidad normar y promover el ordenamiento, mejoramiento, protección e integración de los centros poblados, urbanos y rurales, como sistema sostenible en el territorio nacional; facilita el acceso de la población a una vivienda digna y a los servicios de saneamiento de calidad y sostenibles, en especial de aquella rural o de menores recursos; promueve el desarrollo del mercado inmobiliario, la inversión en infraestructura y equipamiento en los centros poblados;</w:t>
      </w:r>
    </w:p>
    <w:p w14:paraId="53E3A456" w14:textId="77777777" w:rsidR="0066257D" w:rsidRPr="0066257D" w:rsidRDefault="0066257D" w:rsidP="0066257D">
      <w:pPr>
        <w:spacing w:before="120"/>
        <w:rPr>
          <w:rFonts w:cs="Arial"/>
          <w:sz w:val="24"/>
          <w:szCs w:val="24"/>
        </w:rPr>
      </w:pPr>
      <w:r w:rsidRPr="0066257D">
        <w:rPr>
          <w:rFonts w:cs="Arial"/>
          <w:sz w:val="24"/>
          <w:szCs w:val="24"/>
        </w:rPr>
        <w:t>Que, los artículos 5° y 6° de la mencionada ley, establecen que el Ministerio de Vivienda, Construcción y Saneamiento (</w:t>
      </w:r>
      <w:proofErr w:type="spellStart"/>
      <w:r w:rsidRPr="0066257D">
        <w:rPr>
          <w:rFonts w:cs="Arial"/>
          <w:sz w:val="24"/>
          <w:szCs w:val="24"/>
        </w:rPr>
        <w:t>MVCS</w:t>
      </w:r>
      <w:proofErr w:type="spellEnd"/>
      <w:r w:rsidRPr="0066257D">
        <w:rPr>
          <w:rFonts w:cs="Arial"/>
          <w:sz w:val="24"/>
          <w:szCs w:val="24"/>
        </w:rPr>
        <w:t>), tiene competencias, entre otros, en las materias de vivienda, urbanismo y desarrollo urbano; y es el órgano rector de las políticas nacionales y sectoriales dentro del ámbito de su competencia, que son de obligatorio cumplimiento por los tres niveles de gobierno en el marco del proceso de descentralización, y en todo el territorio nacional; asimismo, tiene entre sus competencias exclusivas, dictar normas y lineamientos técnicos para la adecuada ejecución y supervisión de las políticas nacionales y sectoriales;</w:t>
      </w:r>
    </w:p>
    <w:p w14:paraId="5F24483D" w14:textId="77777777" w:rsidR="0066257D" w:rsidRPr="0066257D" w:rsidRDefault="0066257D" w:rsidP="0066257D">
      <w:pPr>
        <w:spacing w:before="120"/>
        <w:rPr>
          <w:rFonts w:cs="Arial"/>
          <w:sz w:val="24"/>
          <w:szCs w:val="24"/>
        </w:rPr>
      </w:pPr>
      <w:r w:rsidRPr="0066257D">
        <w:rPr>
          <w:rFonts w:cs="Arial"/>
          <w:sz w:val="24"/>
          <w:szCs w:val="24"/>
        </w:rPr>
        <w:t xml:space="preserve">Que, el artículo 71 del Reglamento de Organización y Funciones del Ministerio de Vivienda, Construcción y Saneamiento, aprobado por el Decreto Supremo N.° 010-2014-Vivienda, establece que la </w:t>
      </w:r>
      <w:proofErr w:type="spellStart"/>
      <w:r w:rsidRPr="0066257D">
        <w:rPr>
          <w:rFonts w:cs="Arial"/>
          <w:sz w:val="24"/>
          <w:szCs w:val="24"/>
        </w:rPr>
        <w:t>DGPPVU</w:t>
      </w:r>
      <w:proofErr w:type="spellEnd"/>
      <w:r w:rsidRPr="0066257D">
        <w:rPr>
          <w:rFonts w:cs="Arial"/>
          <w:sz w:val="24"/>
          <w:szCs w:val="24"/>
        </w:rPr>
        <w:t xml:space="preserve">, es el órgano de línea del </w:t>
      </w:r>
      <w:proofErr w:type="spellStart"/>
      <w:r w:rsidRPr="0066257D">
        <w:rPr>
          <w:rFonts w:cs="Arial"/>
          <w:sz w:val="24"/>
          <w:szCs w:val="24"/>
        </w:rPr>
        <w:t>MVCS</w:t>
      </w:r>
      <w:proofErr w:type="spellEnd"/>
      <w:r w:rsidRPr="0066257D">
        <w:rPr>
          <w:rFonts w:cs="Arial"/>
          <w:sz w:val="24"/>
          <w:szCs w:val="24"/>
        </w:rPr>
        <w:t xml:space="preserve"> responsable de gestionar, coordinar, promover y hacer el seguimiento de la ejecución de las acciones y desarrollo de los programas y proyectos en las materias de vivienda, urbanismo y desarrollo urbano;</w:t>
      </w:r>
    </w:p>
    <w:p w14:paraId="0DF43391" w14:textId="77777777" w:rsidR="0066257D" w:rsidRPr="0066257D" w:rsidRDefault="0066257D" w:rsidP="0066257D">
      <w:pPr>
        <w:spacing w:before="120"/>
        <w:rPr>
          <w:rFonts w:cs="Arial"/>
          <w:sz w:val="24"/>
          <w:szCs w:val="24"/>
        </w:rPr>
      </w:pPr>
      <w:r w:rsidRPr="0066257D">
        <w:rPr>
          <w:rFonts w:cs="Arial"/>
          <w:sz w:val="24"/>
          <w:szCs w:val="24"/>
        </w:rPr>
        <w:t>Que, el artículo 9° de la Ley N.° 30191, Ley que establece medidas para la prevención, mitigación y adecuada preparación para la respuesta ante situaciones de desastre, crea el Bono de Protección de Viviendas Vulnerables a los Riesgos Sísmicos (</w:t>
      </w:r>
      <w:proofErr w:type="spellStart"/>
      <w:r w:rsidRPr="0066257D">
        <w:rPr>
          <w:rFonts w:cs="Arial"/>
          <w:sz w:val="24"/>
          <w:szCs w:val="24"/>
        </w:rPr>
        <w:t>BPVVRS</w:t>
      </w:r>
      <w:proofErr w:type="spellEnd"/>
      <w:r w:rsidRPr="0066257D">
        <w:rPr>
          <w:rFonts w:cs="Arial"/>
          <w:sz w:val="24"/>
          <w:szCs w:val="24"/>
        </w:rPr>
        <w:t xml:space="preserve">) como parte de la política sectorial del </w:t>
      </w:r>
      <w:proofErr w:type="spellStart"/>
      <w:r w:rsidRPr="0066257D">
        <w:rPr>
          <w:rFonts w:cs="Arial"/>
          <w:sz w:val="24"/>
          <w:szCs w:val="24"/>
        </w:rPr>
        <w:t>MVCS</w:t>
      </w:r>
      <w:proofErr w:type="spellEnd"/>
      <w:r w:rsidRPr="0066257D">
        <w:rPr>
          <w:rFonts w:cs="Arial"/>
          <w:sz w:val="24"/>
          <w:szCs w:val="24"/>
        </w:rPr>
        <w:t xml:space="preserve"> para la reducción de la vulnerabilidad de los efectos de eventos sísmicos, a favor de los hogares en situación de pobreza, sin cargo a restitución por estos, destinado exclusivamente a intervenciones de reforzamiento estructural de las viviendas de dicha población, que se encuentran ubicadas en suelo vulnerable al riesgo sísmico o que hubieran sido construidas en condiciones de fragilidad; </w:t>
      </w:r>
      <w:r w:rsidRPr="0066257D">
        <w:rPr>
          <w:rFonts w:cs="Arial"/>
          <w:sz w:val="24"/>
          <w:szCs w:val="24"/>
        </w:rPr>
        <w:lastRenderedPageBreak/>
        <w:t xml:space="preserve">además, señala, entre otros, que para tales efectos, el </w:t>
      </w:r>
      <w:proofErr w:type="spellStart"/>
      <w:r w:rsidRPr="0066257D">
        <w:rPr>
          <w:rFonts w:cs="Arial"/>
          <w:sz w:val="24"/>
          <w:szCs w:val="24"/>
        </w:rPr>
        <w:t>MVCS</w:t>
      </w:r>
      <w:proofErr w:type="spellEnd"/>
      <w:r w:rsidRPr="0066257D">
        <w:rPr>
          <w:rFonts w:cs="Arial"/>
          <w:sz w:val="24"/>
          <w:szCs w:val="24"/>
        </w:rPr>
        <w:t xml:space="preserve"> identificará y determinará las zonas a ser intervenidas y el Sistema de Focalización de Hogares (</w:t>
      </w:r>
      <w:proofErr w:type="spellStart"/>
      <w:r w:rsidRPr="0066257D">
        <w:rPr>
          <w:rFonts w:cs="Arial"/>
          <w:sz w:val="24"/>
          <w:szCs w:val="24"/>
        </w:rPr>
        <w:t>Sisfoh</w:t>
      </w:r>
      <w:proofErr w:type="spellEnd"/>
      <w:r w:rsidRPr="0066257D">
        <w:rPr>
          <w:rFonts w:cs="Arial"/>
          <w:sz w:val="24"/>
          <w:szCs w:val="24"/>
        </w:rPr>
        <w:t>) determinará a los potenciales beneficiarios;</w:t>
      </w:r>
    </w:p>
    <w:p w14:paraId="6C6AE843" w14:textId="77777777" w:rsidR="0066257D" w:rsidRPr="0066257D" w:rsidRDefault="0066257D" w:rsidP="0066257D">
      <w:pPr>
        <w:spacing w:before="120"/>
        <w:rPr>
          <w:rFonts w:cs="Arial"/>
          <w:sz w:val="24"/>
          <w:szCs w:val="24"/>
        </w:rPr>
      </w:pPr>
      <w:r w:rsidRPr="0066257D">
        <w:rPr>
          <w:rFonts w:cs="Arial"/>
          <w:sz w:val="24"/>
          <w:szCs w:val="24"/>
        </w:rPr>
        <w:t xml:space="preserve">Que, asimismo el precitado artículo dispone que el procedimiento para la identificación y determinación de las zonas a intervenir; así como, los procedimientos, requisitos y condiciones para el otorgamiento del </w:t>
      </w:r>
      <w:proofErr w:type="spellStart"/>
      <w:r w:rsidRPr="0066257D">
        <w:rPr>
          <w:rFonts w:cs="Arial"/>
          <w:sz w:val="24"/>
          <w:szCs w:val="24"/>
        </w:rPr>
        <w:t>BPVVRS</w:t>
      </w:r>
      <w:proofErr w:type="spellEnd"/>
      <w:r w:rsidRPr="0066257D">
        <w:rPr>
          <w:rFonts w:cs="Arial"/>
          <w:sz w:val="24"/>
          <w:szCs w:val="24"/>
        </w:rPr>
        <w:t xml:space="preserve">, incluyendo las limitaciones de cinco años al uso </w:t>
      </w:r>
      <w:proofErr w:type="spellStart"/>
      <w:r w:rsidRPr="0066257D">
        <w:rPr>
          <w:rFonts w:cs="Arial"/>
          <w:sz w:val="24"/>
          <w:szCs w:val="24"/>
        </w:rPr>
        <w:t>enajenatorio</w:t>
      </w:r>
      <w:proofErr w:type="spellEnd"/>
      <w:r w:rsidRPr="0066257D">
        <w:rPr>
          <w:rFonts w:cs="Arial"/>
          <w:sz w:val="24"/>
          <w:szCs w:val="24"/>
        </w:rPr>
        <w:t xml:space="preserve"> de las viviendas objeto del reforzamiento estructural se establecen en el Reglamento Operativo del citado Bono a aprobarse mediante resolución ministerial del </w:t>
      </w:r>
      <w:proofErr w:type="spellStart"/>
      <w:r w:rsidRPr="0066257D">
        <w:rPr>
          <w:rFonts w:cs="Arial"/>
          <w:sz w:val="24"/>
          <w:szCs w:val="24"/>
        </w:rPr>
        <w:t>MVCS</w:t>
      </w:r>
      <w:proofErr w:type="spellEnd"/>
      <w:r w:rsidRPr="0066257D">
        <w:rPr>
          <w:rFonts w:cs="Arial"/>
          <w:sz w:val="24"/>
          <w:szCs w:val="24"/>
        </w:rPr>
        <w:t>;</w:t>
      </w:r>
    </w:p>
    <w:p w14:paraId="5C5D4115" w14:textId="77777777" w:rsidR="0066257D" w:rsidRPr="0066257D" w:rsidRDefault="0066257D" w:rsidP="0066257D">
      <w:pPr>
        <w:spacing w:before="120"/>
        <w:rPr>
          <w:rFonts w:cs="Arial"/>
          <w:sz w:val="24"/>
          <w:szCs w:val="24"/>
        </w:rPr>
      </w:pPr>
      <w:r w:rsidRPr="0066257D">
        <w:rPr>
          <w:rFonts w:cs="Arial"/>
          <w:sz w:val="24"/>
          <w:szCs w:val="24"/>
        </w:rPr>
        <w:t xml:space="preserve">Que, mediante la Resolución Ministerial N.° 336-2018-Vivienda se aprueba el Reglamento operativo del bono de protección de viviendas vulnerables a los riesgos sísmicos que establece el procedimiento para la identificación y determinación de las zonas a intervenir; así como, los procedimientos, requisitos y condiciones para el otorgamiento del </w:t>
      </w:r>
      <w:proofErr w:type="spellStart"/>
      <w:r w:rsidRPr="0066257D">
        <w:rPr>
          <w:rFonts w:cs="Arial"/>
          <w:sz w:val="24"/>
          <w:szCs w:val="24"/>
        </w:rPr>
        <w:t>BPVVRS</w:t>
      </w:r>
      <w:proofErr w:type="spellEnd"/>
      <w:r w:rsidRPr="0066257D">
        <w:rPr>
          <w:rFonts w:cs="Arial"/>
          <w:sz w:val="24"/>
          <w:szCs w:val="24"/>
        </w:rPr>
        <w:t>;</w:t>
      </w:r>
    </w:p>
    <w:p w14:paraId="0096AE4E" w14:textId="77777777" w:rsidR="0066257D" w:rsidRPr="0066257D" w:rsidRDefault="0066257D" w:rsidP="0066257D">
      <w:pPr>
        <w:spacing w:before="120"/>
        <w:rPr>
          <w:rFonts w:cs="Arial"/>
          <w:sz w:val="24"/>
          <w:szCs w:val="24"/>
        </w:rPr>
      </w:pPr>
      <w:r w:rsidRPr="0066257D">
        <w:rPr>
          <w:rFonts w:cs="Arial"/>
          <w:sz w:val="24"/>
          <w:szCs w:val="24"/>
        </w:rPr>
        <w:t xml:space="preserve">Que, posteriormente, la Ley N.° 30852, Ley que aprueba la exoneración de requisitos a familias damnificadas con viviendas colapsadas o inhabitables con el bono familiar habitacional y con el bono de protección de viviendas vulnerables a los riesgos sísmicos constituida por población damnificada con vivienda con daño recuperable, establece medidas especiales a fin de dar atención con el </w:t>
      </w:r>
      <w:proofErr w:type="spellStart"/>
      <w:r w:rsidRPr="0066257D">
        <w:rPr>
          <w:rFonts w:cs="Arial"/>
          <w:sz w:val="24"/>
          <w:szCs w:val="24"/>
        </w:rPr>
        <w:t>BPVVRS</w:t>
      </w:r>
      <w:proofErr w:type="spellEnd"/>
      <w:r w:rsidRPr="0066257D">
        <w:rPr>
          <w:rFonts w:cs="Arial"/>
          <w:sz w:val="24"/>
          <w:szCs w:val="24"/>
        </w:rPr>
        <w:t xml:space="preserve"> a que se refiere el artículo 9° de la Ley N.° 30191, a la población damnificada en viviendas con daño recuperable a consecuencia de una emergencia o desastre, exonerándolas de cumplir con el criterio del </w:t>
      </w:r>
      <w:proofErr w:type="spellStart"/>
      <w:r w:rsidRPr="0066257D">
        <w:rPr>
          <w:rFonts w:cs="Arial"/>
          <w:sz w:val="24"/>
          <w:szCs w:val="24"/>
        </w:rPr>
        <w:t>Sisfoh</w:t>
      </w:r>
      <w:proofErr w:type="spellEnd"/>
      <w:r w:rsidRPr="0066257D">
        <w:rPr>
          <w:rFonts w:cs="Arial"/>
          <w:sz w:val="24"/>
          <w:szCs w:val="24"/>
        </w:rPr>
        <w:t>;</w:t>
      </w:r>
    </w:p>
    <w:p w14:paraId="2FA99A7D" w14:textId="77777777" w:rsidR="0066257D" w:rsidRPr="0066257D" w:rsidRDefault="0066257D" w:rsidP="0066257D">
      <w:pPr>
        <w:spacing w:before="120"/>
        <w:rPr>
          <w:rFonts w:cs="Arial"/>
          <w:sz w:val="24"/>
          <w:szCs w:val="24"/>
        </w:rPr>
      </w:pPr>
      <w:r w:rsidRPr="0066257D">
        <w:rPr>
          <w:rFonts w:cs="Arial"/>
          <w:sz w:val="24"/>
          <w:szCs w:val="24"/>
        </w:rPr>
        <w:t xml:space="preserve">Que, con el Decreto Supremo N.° 013-2019-Vivienda, se aprueba el Reglamento de la Ley N.° 30852, en el que se establecen disposiciones reglamentarias para la atención, entre otros, de la población damnificada con viviendas con daño recuperable con el </w:t>
      </w:r>
      <w:proofErr w:type="spellStart"/>
      <w:r w:rsidRPr="0066257D">
        <w:rPr>
          <w:rFonts w:cs="Arial"/>
          <w:sz w:val="24"/>
          <w:szCs w:val="24"/>
        </w:rPr>
        <w:t>BPVVRS</w:t>
      </w:r>
      <w:proofErr w:type="spellEnd"/>
      <w:r w:rsidRPr="0066257D">
        <w:rPr>
          <w:rFonts w:cs="Arial"/>
          <w:sz w:val="24"/>
          <w:szCs w:val="24"/>
        </w:rPr>
        <w:t xml:space="preserve">, en el marco de lo dispuesto en la citada ley; asimismo, señala en el párrafo 9.2 de su artículo 9°, que el procedimiento para el otorgamiento del </w:t>
      </w:r>
      <w:proofErr w:type="spellStart"/>
      <w:r w:rsidRPr="0066257D">
        <w:rPr>
          <w:rFonts w:cs="Arial"/>
          <w:sz w:val="24"/>
          <w:szCs w:val="24"/>
        </w:rPr>
        <w:t>BPVVRS</w:t>
      </w:r>
      <w:proofErr w:type="spellEnd"/>
      <w:r w:rsidRPr="0066257D">
        <w:rPr>
          <w:rFonts w:cs="Arial"/>
          <w:sz w:val="24"/>
          <w:szCs w:val="24"/>
        </w:rPr>
        <w:t xml:space="preserve"> para la población damnificada por emergencias o desastres se regula por el Reglamento operativo del bono de protección de viviendas vulnerables a los riesgos sísmicos, aprobado por la Resolución Ministerial N.° 336-2018-Vivienda o norma que la sustituya;</w:t>
      </w:r>
    </w:p>
    <w:p w14:paraId="18987113" w14:textId="77777777" w:rsidR="0066257D" w:rsidRPr="0066257D" w:rsidRDefault="0066257D" w:rsidP="0066257D">
      <w:pPr>
        <w:spacing w:before="120"/>
        <w:rPr>
          <w:rFonts w:cs="Arial"/>
          <w:sz w:val="24"/>
          <w:szCs w:val="24"/>
        </w:rPr>
      </w:pPr>
      <w:r w:rsidRPr="0066257D">
        <w:rPr>
          <w:rFonts w:cs="Arial"/>
          <w:sz w:val="24"/>
          <w:szCs w:val="24"/>
        </w:rPr>
        <w:t>Que, mediante el Informe N.° 181-2025-Vivienda/</w:t>
      </w:r>
      <w:proofErr w:type="spellStart"/>
      <w:r w:rsidRPr="0066257D">
        <w:rPr>
          <w:rFonts w:cs="Arial"/>
          <w:sz w:val="24"/>
          <w:szCs w:val="24"/>
        </w:rPr>
        <w:t>VMVU-DGPPVU</w:t>
      </w:r>
      <w:proofErr w:type="spellEnd"/>
      <w:r w:rsidRPr="0066257D">
        <w:rPr>
          <w:rFonts w:cs="Arial"/>
          <w:sz w:val="24"/>
          <w:szCs w:val="24"/>
        </w:rPr>
        <w:t>, que contiene el Informe N.° 1352-2025-Vivienda/</w:t>
      </w:r>
      <w:proofErr w:type="spellStart"/>
      <w:r w:rsidRPr="0066257D">
        <w:rPr>
          <w:rFonts w:cs="Arial"/>
          <w:sz w:val="24"/>
          <w:szCs w:val="24"/>
        </w:rPr>
        <w:t>VMVU-DGPPVU-DEPPVU</w:t>
      </w:r>
      <w:proofErr w:type="spellEnd"/>
      <w:r w:rsidRPr="0066257D">
        <w:rPr>
          <w:rFonts w:cs="Arial"/>
          <w:sz w:val="24"/>
          <w:szCs w:val="24"/>
        </w:rPr>
        <w:t xml:space="preserve"> el cual adjunta el Informe Técnico Legal N.° 003-2025-</w:t>
      </w:r>
      <w:proofErr w:type="spellStart"/>
      <w:r w:rsidRPr="0066257D">
        <w:rPr>
          <w:rFonts w:cs="Arial"/>
          <w:sz w:val="24"/>
          <w:szCs w:val="24"/>
        </w:rPr>
        <w:t>DGPPVU</w:t>
      </w:r>
      <w:proofErr w:type="spellEnd"/>
      <w:r w:rsidRPr="0066257D">
        <w:rPr>
          <w:rFonts w:cs="Arial"/>
          <w:sz w:val="24"/>
          <w:szCs w:val="24"/>
        </w:rPr>
        <w:t>-</w:t>
      </w:r>
      <w:proofErr w:type="spellStart"/>
      <w:r w:rsidRPr="0066257D">
        <w:rPr>
          <w:rFonts w:cs="Arial"/>
          <w:sz w:val="24"/>
          <w:szCs w:val="24"/>
        </w:rPr>
        <w:t>DEPPVU</w:t>
      </w:r>
      <w:proofErr w:type="spellEnd"/>
      <w:r w:rsidRPr="0066257D">
        <w:rPr>
          <w:rFonts w:cs="Arial"/>
          <w:sz w:val="24"/>
          <w:szCs w:val="24"/>
        </w:rPr>
        <w:t>-</w:t>
      </w:r>
      <w:proofErr w:type="spellStart"/>
      <w:r w:rsidRPr="0066257D">
        <w:rPr>
          <w:rFonts w:cs="Arial"/>
          <w:sz w:val="24"/>
          <w:szCs w:val="24"/>
        </w:rPr>
        <w:t>CBVVRS</w:t>
      </w:r>
      <w:proofErr w:type="spellEnd"/>
      <w:r w:rsidRPr="0066257D">
        <w:rPr>
          <w:rFonts w:cs="Arial"/>
          <w:sz w:val="24"/>
          <w:szCs w:val="24"/>
        </w:rPr>
        <w:t xml:space="preserve">-FC, la </w:t>
      </w:r>
      <w:proofErr w:type="spellStart"/>
      <w:r w:rsidRPr="0066257D">
        <w:rPr>
          <w:rFonts w:cs="Arial"/>
          <w:sz w:val="24"/>
          <w:szCs w:val="24"/>
        </w:rPr>
        <w:t>DGPPVU</w:t>
      </w:r>
      <w:proofErr w:type="spellEnd"/>
      <w:r w:rsidRPr="0066257D">
        <w:rPr>
          <w:rFonts w:cs="Arial"/>
          <w:sz w:val="24"/>
          <w:szCs w:val="24"/>
        </w:rPr>
        <w:t xml:space="preserve"> sustenta y propone la aprobación del nuevo Reglamento Operativo del </w:t>
      </w:r>
      <w:proofErr w:type="spellStart"/>
      <w:r w:rsidRPr="0066257D">
        <w:rPr>
          <w:rFonts w:cs="Arial"/>
          <w:sz w:val="24"/>
          <w:szCs w:val="24"/>
        </w:rPr>
        <w:t>BPVVRS</w:t>
      </w:r>
      <w:proofErr w:type="spellEnd"/>
      <w:r w:rsidRPr="0066257D">
        <w:rPr>
          <w:rFonts w:cs="Arial"/>
          <w:sz w:val="24"/>
          <w:szCs w:val="24"/>
        </w:rPr>
        <w:t>, que se constituirá en la nueva regulación para la ejecución de las obras de reforzamiento estructural de las viviendas ubicadas en suelo vulnerable al riesgo sísmico, construidas en condiciones de fragilidad, o con daño estructural recuperable a consecuencia de una emergencia o desastre, correspondiendo la publicación del citado proyecto, así como de la resolución ministerial que la aprobaría, de acuerdo a lo dispuesto en el Reglamento que establece disposiciones sobre publicación y difusión de normas jurídicas de carácter general, resoluciones y proyectos normativos, aprobado por el Decreto Supremo N.° 009-2024-</w:t>
      </w:r>
      <w:proofErr w:type="spellStart"/>
      <w:r w:rsidRPr="0066257D">
        <w:rPr>
          <w:rFonts w:cs="Arial"/>
          <w:sz w:val="24"/>
          <w:szCs w:val="24"/>
        </w:rPr>
        <w:t>JUS</w:t>
      </w:r>
      <w:proofErr w:type="spellEnd"/>
      <w:r w:rsidRPr="0066257D">
        <w:rPr>
          <w:rFonts w:cs="Arial"/>
          <w:sz w:val="24"/>
          <w:szCs w:val="24"/>
        </w:rPr>
        <w:t>;</w:t>
      </w:r>
    </w:p>
    <w:p w14:paraId="2B36A5B5" w14:textId="77777777" w:rsidR="0066257D" w:rsidRPr="0066257D" w:rsidRDefault="0066257D" w:rsidP="0066257D">
      <w:pPr>
        <w:spacing w:before="120"/>
        <w:rPr>
          <w:rFonts w:cs="Arial"/>
          <w:sz w:val="24"/>
          <w:szCs w:val="24"/>
        </w:rPr>
      </w:pPr>
      <w:r w:rsidRPr="0066257D">
        <w:rPr>
          <w:rFonts w:cs="Arial"/>
          <w:sz w:val="24"/>
          <w:szCs w:val="24"/>
        </w:rPr>
        <w:t>Que, a través del Informe N.° 714-2025-Vivienda/SG-</w:t>
      </w:r>
      <w:proofErr w:type="spellStart"/>
      <w:r w:rsidRPr="0066257D">
        <w:rPr>
          <w:rFonts w:cs="Arial"/>
          <w:sz w:val="24"/>
          <w:szCs w:val="24"/>
        </w:rPr>
        <w:t>OGAJ</w:t>
      </w:r>
      <w:proofErr w:type="spellEnd"/>
      <w:r w:rsidRPr="0066257D">
        <w:rPr>
          <w:rFonts w:cs="Arial"/>
          <w:sz w:val="24"/>
          <w:szCs w:val="24"/>
        </w:rPr>
        <w:t xml:space="preserve">, desde el punto de vista legal, la </w:t>
      </w:r>
      <w:proofErr w:type="spellStart"/>
      <w:r w:rsidRPr="0066257D">
        <w:rPr>
          <w:rFonts w:cs="Arial"/>
          <w:sz w:val="24"/>
          <w:szCs w:val="24"/>
        </w:rPr>
        <w:t>OGAJ</w:t>
      </w:r>
      <w:proofErr w:type="spellEnd"/>
      <w:r w:rsidRPr="0066257D">
        <w:rPr>
          <w:rFonts w:cs="Arial"/>
          <w:sz w:val="24"/>
          <w:szCs w:val="24"/>
        </w:rPr>
        <w:t xml:space="preserve"> emite opinión favorable para continuar con el trámite de </w:t>
      </w:r>
      <w:r w:rsidRPr="0066257D">
        <w:rPr>
          <w:rFonts w:cs="Arial"/>
          <w:sz w:val="24"/>
          <w:szCs w:val="24"/>
        </w:rPr>
        <w:lastRenderedPageBreak/>
        <w:t>aprobación de la resolución ministerial que dispone la publicación del proyecto de resolución ministerial que deroga la Resolución Ministerial N.° 336-2018-Vivienda y aprueba el Reglamento operativo del bono de protección de viviendas vulnerables a los riesgos sísmicos; así como, del texto del referido reglamento operativo;</w:t>
      </w:r>
    </w:p>
    <w:p w14:paraId="6A7FCAA2" w14:textId="77777777" w:rsidR="0066257D" w:rsidRPr="0066257D" w:rsidRDefault="0066257D" w:rsidP="0066257D">
      <w:pPr>
        <w:spacing w:before="120"/>
        <w:rPr>
          <w:rFonts w:cs="Arial"/>
          <w:sz w:val="24"/>
          <w:szCs w:val="24"/>
        </w:rPr>
      </w:pPr>
      <w:r w:rsidRPr="0066257D">
        <w:rPr>
          <w:rFonts w:cs="Arial"/>
          <w:sz w:val="24"/>
          <w:szCs w:val="24"/>
        </w:rPr>
        <w:t>Que, el numeral 19.1 del artículo 19 del Reglamento que establece disposiciones sobre publicación y difusión de normas jurídicas de carácter general, resoluciones y proyectos normativos, aprobado por el Decreto Supremo N.° 009-2024-</w:t>
      </w:r>
      <w:proofErr w:type="spellStart"/>
      <w:r w:rsidRPr="0066257D">
        <w:rPr>
          <w:rFonts w:cs="Arial"/>
          <w:sz w:val="24"/>
          <w:szCs w:val="24"/>
        </w:rPr>
        <w:t>JUS</w:t>
      </w:r>
      <w:proofErr w:type="spellEnd"/>
      <w:r w:rsidRPr="0066257D">
        <w:rPr>
          <w:rFonts w:cs="Arial"/>
          <w:sz w:val="24"/>
          <w:szCs w:val="24"/>
        </w:rPr>
        <w:t>, señala que sin perjuicio de la aplicación de los mecanismos de consulta pública previstos en el Reglamento que desarrolla el marco institucional que rige el proceso de mejora de la calidad regulatoria y establece los lineamientos generales para la aplicación del Análisis de Impacto Regulatorio Ex Ante, aprobado por el Decreto Supremo N.° 063- 2021-PCM, o norma que lo sustituya, los proyectos de normas jurídicas de carácter general deben ser publicados en las sedes digitales de las entidades de la Administración Pública a cargo de su elaboración o en otro medio, asegurando su debida difusión y fácil acceso; el plazo para la recepción de los comentarios, aportes u opiniones, no debe ser menor a quince días calendario, contado desde el día siguiente de su publicación, salvo disposición normativa de rango superior que establezca lo contrario, conforme a lo señalado en el literal c) del párrafo 20.1 del artículo 20 del referido reglamento;</w:t>
      </w:r>
    </w:p>
    <w:p w14:paraId="438DA20C" w14:textId="77777777" w:rsidR="0066257D" w:rsidRPr="0066257D" w:rsidRDefault="0066257D" w:rsidP="0066257D">
      <w:pPr>
        <w:spacing w:before="120"/>
        <w:rPr>
          <w:rFonts w:cs="Arial"/>
          <w:sz w:val="24"/>
          <w:szCs w:val="24"/>
        </w:rPr>
      </w:pPr>
      <w:r w:rsidRPr="0066257D">
        <w:rPr>
          <w:rFonts w:cs="Arial"/>
          <w:sz w:val="24"/>
          <w:szCs w:val="24"/>
        </w:rPr>
        <w:t>Que, en consecuencia, corresponde disponer la publicación del proyecto de resolución ministerial que deroga la Resolución Ministerial N.° 336-2018-Vivienda y aprueba el Reglamento operativo del bono de protección de viviendas vulnerables a los riesgos sísmicos; así como, del texto del referido reglamento operativo, con la finalidad de difundir dicho proyecto por el plazo de quince días calendario y recibir los respectivos comentarios, aportes u opiniones de la ciudadanía;</w:t>
      </w:r>
    </w:p>
    <w:p w14:paraId="2B8E8BE4" w14:textId="77777777" w:rsidR="0066257D" w:rsidRPr="0066257D" w:rsidRDefault="0066257D" w:rsidP="0066257D">
      <w:pPr>
        <w:spacing w:before="120"/>
        <w:rPr>
          <w:rFonts w:cs="Arial"/>
          <w:sz w:val="24"/>
          <w:szCs w:val="24"/>
        </w:rPr>
      </w:pPr>
      <w:r w:rsidRPr="0066257D">
        <w:rPr>
          <w:rFonts w:cs="Arial"/>
          <w:sz w:val="24"/>
          <w:szCs w:val="24"/>
        </w:rPr>
        <w:t>De conformidad con lo dispuesto en la Ley N.° 30156, Ley de Organización y Funciones del Ministerio de Vivienda, Construcción y Saneamiento y modificatoria; la Ley N.° 30191, Ley que establece medidas para la prevención, mitigación y adecuada preparación para la respuesta ante situaciones de desastre; la Ley N.° 30852, Ley que aprueba la exoneración de requisitos a familias damnificadas con viviendas colapsadas o inhabitables con el bono familiar habitacional y con el bono de protección de viviendas vulnerables a los riesgos sísmicos constituida por población damnificada con vivienda con daño recuperable; el Decreto Supremo N.° 010-2014-Vivienda, Decreto supremo que aprueba el Reglamento de Organización y Funciones del Ministerio de Vivienda, Construcción y Saneamiento y modificatoria; el Decreto Supremo N.° 013-2019-Vivienda, Decreto supremo que aprueba el Reglamento de la Ley N.° 30852 y modificatoria; y, el Decreto Supremo N.° 009-2024-</w:t>
      </w:r>
      <w:proofErr w:type="spellStart"/>
      <w:r w:rsidRPr="0066257D">
        <w:rPr>
          <w:rFonts w:cs="Arial"/>
          <w:sz w:val="24"/>
          <w:szCs w:val="24"/>
        </w:rPr>
        <w:t>JUS</w:t>
      </w:r>
      <w:proofErr w:type="spellEnd"/>
      <w:r w:rsidRPr="0066257D">
        <w:rPr>
          <w:rFonts w:cs="Arial"/>
          <w:sz w:val="24"/>
          <w:szCs w:val="24"/>
        </w:rPr>
        <w:t>, Decreto supremo que aprueba el Reglamento que establece disposiciones sobre publicación y difusión de normas jurídicas de carácter general, resoluciones y proyectos normativos;</w:t>
      </w:r>
    </w:p>
    <w:p w14:paraId="16996207" w14:textId="77777777" w:rsidR="0066257D" w:rsidRPr="0066257D" w:rsidRDefault="0066257D" w:rsidP="0066257D">
      <w:pPr>
        <w:spacing w:before="120"/>
        <w:rPr>
          <w:rFonts w:cs="Arial"/>
          <w:sz w:val="24"/>
          <w:szCs w:val="24"/>
        </w:rPr>
      </w:pPr>
      <w:r w:rsidRPr="0066257D">
        <w:rPr>
          <w:rFonts w:cs="Arial"/>
          <w:sz w:val="24"/>
          <w:szCs w:val="24"/>
        </w:rPr>
        <w:t>Se resuelve:</w:t>
      </w:r>
    </w:p>
    <w:p w14:paraId="155262DD" w14:textId="77777777" w:rsidR="0066257D" w:rsidRPr="0066257D" w:rsidRDefault="0066257D" w:rsidP="0066257D">
      <w:pPr>
        <w:spacing w:before="120"/>
        <w:rPr>
          <w:rFonts w:cs="Arial"/>
          <w:sz w:val="24"/>
          <w:szCs w:val="24"/>
        </w:rPr>
      </w:pPr>
      <w:r w:rsidRPr="0066257D">
        <w:rPr>
          <w:rFonts w:cs="Arial"/>
          <w:sz w:val="24"/>
          <w:szCs w:val="24"/>
        </w:rPr>
        <w:t xml:space="preserve">Artículo 1°.- </w:t>
      </w:r>
      <w:r w:rsidRPr="0066257D">
        <w:rPr>
          <w:rFonts w:cs="Arial"/>
          <w:b/>
          <w:sz w:val="24"/>
          <w:szCs w:val="24"/>
        </w:rPr>
        <w:t xml:space="preserve">Publicación. </w:t>
      </w:r>
      <w:r w:rsidRPr="0066257D">
        <w:rPr>
          <w:rFonts w:cs="Arial"/>
          <w:sz w:val="24"/>
          <w:szCs w:val="24"/>
        </w:rPr>
        <w:t xml:space="preserve">Disponer la publicación del proyecto de resolución ministerial que deroga la Resolución Ministerial N.° 336-2018-Vivienda y </w:t>
      </w:r>
      <w:r w:rsidRPr="0066257D">
        <w:rPr>
          <w:rFonts w:cs="Arial"/>
          <w:sz w:val="24"/>
          <w:szCs w:val="24"/>
        </w:rPr>
        <w:lastRenderedPageBreak/>
        <w:t>aprueba el Reglamento operativo del bono de protección de viviendas vulnerables a los riesgos sísmicos; y del texto del citado proyecto de reglamento operativo, en la sede digital del Ministerio de Vivienda, Construcción y Saneamiento (</w:t>
      </w:r>
      <w:proofErr w:type="spellStart"/>
      <w:r w:rsidRPr="0066257D">
        <w:rPr>
          <w:rFonts w:cs="Arial"/>
          <w:sz w:val="24"/>
          <w:szCs w:val="24"/>
        </w:rPr>
        <w:t>www.gob.pe</w:t>
      </w:r>
      <w:proofErr w:type="spellEnd"/>
      <w:r w:rsidRPr="0066257D">
        <w:rPr>
          <w:rFonts w:cs="Arial"/>
          <w:sz w:val="24"/>
          <w:szCs w:val="24"/>
        </w:rPr>
        <w:t>/vivienda), el mismo día de la publicación de la presente resolución ministerial en el Diario Oficial El Peruano, a efectos de recibir los comentarios, aportes u opiniones de la ciudadanía, dentro del plazo de quince días calendario, contado a partir del primer día hábil siguiente de publicada la presente resolución ministerial.</w:t>
      </w:r>
    </w:p>
    <w:p w14:paraId="14A7743B" w14:textId="77777777" w:rsidR="0066257D" w:rsidRPr="0066257D" w:rsidRDefault="0066257D" w:rsidP="0066257D">
      <w:pPr>
        <w:spacing w:before="120"/>
        <w:rPr>
          <w:rFonts w:cs="Arial"/>
          <w:sz w:val="24"/>
          <w:szCs w:val="24"/>
        </w:rPr>
      </w:pPr>
      <w:r w:rsidRPr="0066257D">
        <w:rPr>
          <w:rFonts w:cs="Arial"/>
          <w:sz w:val="24"/>
          <w:szCs w:val="24"/>
        </w:rPr>
        <w:t xml:space="preserve">Artículo 2°.- </w:t>
      </w:r>
      <w:r w:rsidRPr="0066257D">
        <w:rPr>
          <w:rFonts w:cs="Arial"/>
          <w:b/>
          <w:sz w:val="24"/>
          <w:szCs w:val="24"/>
        </w:rPr>
        <w:t xml:space="preserve">Recepción, sistematización y análisis de información. </w:t>
      </w:r>
      <w:r w:rsidRPr="0066257D">
        <w:rPr>
          <w:rFonts w:cs="Arial"/>
          <w:sz w:val="24"/>
          <w:szCs w:val="24"/>
        </w:rPr>
        <w:t>Encargar a la Dirección de Ejecución de Programas y Proyectos en Vivienda y Urbanismo de la Dirección General de Programas y Proyectos en Vivienda y Urbanismo, la recepción, sistematización y análisis de los comentarios, aportes u opiniones que se presenten respecto del proyecto normativo señalado en el artículo precedente, a través de la sede digital del Ministerio de Vivienda, Construcción y Saneamiento (</w:t>
      </w:r>
      <w:proofErr w:type="spellStart"/>
      <w:r w:rsidRPr="0066257D">
        <w:rPr>
          <w:rFonts w:cs="Arial"/>
          <w:sz w:val="24"/>
          <w:szCs w:val="24"/>
        </w:rPr>
        <w:t>www.gob.pe</w:t>
      </w:r>
      <w:proofErr w:type="spellEnd"/>
      <w:r w:rsidRPr="0066257D">
        <w:rPr>
          <w:rFonts w:cs="Arial"/>
          <w:sz w:val="24"/>
          <w:szCs w:val="24"/>
        </w:rPr>
        <w:t>/vivienda), en el siguiente enlace: "Proyecto de reglamento operativo del bono de protección de viviendas vulnerables a los riesgos sísmicos".</w:t>
      </w:r>
    </w:p>
    <w:p w14:paraId="7722BAE5" w14:textId="77777777" w:rsidR="0066257D" w:rsidRPr="0066257D" w:rsidRDefault="0066257D" w:rsidP="0066257D">
      <w:pPr>
        <w:spacing w:before="120"/>
        <w:rPr>
          <w:rFonts w:cs="Arial"/>
          <w:sz w:val="24"/>
          <w:szCs w:val="24"/>
        </w:rPr>
      </w:pPr>
      <w:r w:rsidRPr="0066257D">
        <w:rPr>
          <w:rFonts w:cs="Arial"/>
          <w:sz w:val="24"/>
          <w:szCs w:val="24"/>
        </w:rPr>
        <w:t>Regístrese, comuníquese y publíquese.</w:t>
      </w:r>
    </w:p>
    <w:p w14:paraId="0A68DDA1" w14:textId="77777777" w:rsidR="0066257D" w:rsidRPr="0066257D" w:rsidRDefault="0066257D" w:rsidP="0066257D">
      <w:pPr>
        <w:spacing w:before="120"/>
        <w:rPr>
          <w:rFonts w:cs="Arial"/>
          <w:sz w:val="24"/>
          <w:szCs w:val="24"/>
        </w:rPr>
      </w:pPr>
      <w:proofErr w:type="spellStart"/>
      <w:r w:rsidRPr="0066257D">
        <w:rPr>
          <w:rFonts w:cs="Arial"/>
          <w:sz w:val="24"/>
          <w:szCs w:val="24"/>
        </w:rPr>
        <w:t>Durich</w:t>
      </w:r>
      <w:proofErr w:type="spellEnd"/>
      <w:r w:rsidRPr="0066257D">
        <w:rPr>
          <w:rFonts w:cs="Arial"/>
          <w:sz w:val="24"/>
          <w:szCs w:val="24"/>
        </w:rPr>
        <w:t xml:space="preserve"> Francisco </w:t>
      </w:r>
      <w:proofErr w:type="spellStart"/>
      <w:r w:rsidRPr="0066257D">
        <w:rPr>
          <w:rFonts w:cs="Arial"/>
          <w:sz w:val="24"/>
          <w:szCs w:val="24"/>
        </w:rPr>
        <w:t>Whittembury</w:t>
      </w:r>
      <w:proofErr w:type="spellEnd"/>
      <w:r w:rsidRPr="0066257D">
        <w:rPr>
          <w:rFonts w:cs="Arial"/>
          <w:sz w:val="24"/>
          <w:szCs w:val="24"/>
        </w:rPr>
        <w:t xml:space="preserve"> </w:t>
      </w:r>
      <w:proofErr w:type="spellStart"/>
      <w:r w:rsidRPr="0066257D">
        <w:rPr>
          <w:rFonts w:cs="Arial"/>
          <w:sz w:val="24"/>
          <w:szCs w:val="24"/>
        </w:rPr>
        <w:t>Talledo</w:t>
      </w:r>
      <w:proofErr w:type="spellEnd"/>
    </w:p>
    <w:p w14:paraId="740B1552" w14:textId="77777777" w:rsidR="0066257D" w:rsidRPr="0066257D" w:rsidRDefault="0066257D" w:rsidP="0066257D">
      <w:pPr>
        <w:spacing w:before="120"/>
        <w:rPr>
          <w:rFonts w:cs="Arial"/>
          <w:sz w:val="24"/>
          <w:szCs w:val="24"/>
        </w:rPr>
      </w:pPr>
      <w:r w:rsidRPr="0066257D">
        <w:rPr>
          <w:rFonts w:cs="Arial"/>
          <w:sz w:val="24"/>
          <w:szCs w:val="24"/>
        </w:rPr>
        <w:t>Ministro de Vivienda, Construcción y Saneamiento</w:t>
      </w:r>
    </w:p>
    <w:p w14:paraId="0D2766F1" w14:textId="0EFF1FCB" w:rsidR="003E5EA4" w:rsidRDefault="003E5EA4" w:rsidP="0066257D">
      <w:pPr>
        <w:spacing w:before="120"/>
        <w:jc w:val="center"/>
      </w:pPr>
      <w:r w:rsidRPr="003E5EA4">
        <w:t>Do</w:t>
      </w:r>
      <w:bookmarkStart w:id="0" w:name="_GoBack"/>
      <w:bookmarkEnd w:id="0"/>
      <w:r w:rsidRPr="003E5EA4">
        <w:t xml:space="preserve">cumento publicado en el Diario Oficial “El Peruano” el </w:t>
      </w:r>
      <w:r>
        <w:t>6</w:t>
      </w:r>
      <w:r w:rsidRPr="003E5EA4">
        <w:t xml:space="preserve"> de setiembre del 2025.</w:t>
      </w:r>
    </w:p>
    <w:sectPr w:rsidR="003E5EA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BB6B" w14:textId="77777777" w:rsidR="00AC0991" w:rsidRDefault="00AC0991" w:rsidP="003E5EA4">
      <w:r>
        <w:separator/>
      </w:r>
    </w:p>
  </w:endnote>
  <w:endnote w:type="continuationSeparator" w:id="0">
    <w:p w14:paraId="59D1527F" w14:textId="77777777" w:rsidR="00AC0991" w:rsidRDefault="00AC0991" w:rsidP="003E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C54D4" w14:textId="6163D761" w:rsidR="003E5EA4" w:rsidRPr="0066257D" w:rsidRDefault="003E5EA4" w:rsidP="0066257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91D2B12" wp14:editId="20201051">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667B4" w14:textId="77777777" w:rsidR="00AC0991" w:rsidRDefault="00AC0991" w:rsidP="003E5EA4">
      <w:r>
        <w:separator/>
      </w:r>
    </w:p>
  </w:footnote>
  <w:footnote w:type="continuationSeparator" w:id="0">
    <w:p w14:paraId="7436B8EE" w14:textId="77777777" w:rsidR="00AC0991" w:rsidRDefault="00AC0991" w:rsidP="003E5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5230F" w14:textId="2F7DAD09" w:rsidR="003E5EA4" w:rsidRDefault="003E5EA4" w:rsidP="0066257D">
    <w:pPr>
      <w:pStyle w:val="Encabezado"/>
      <w:spacing w:after="240"/>
    </w:pPr>
    <w:r>
      <w:rPr>
        <w:noProof/>
        <w:lang w:eastAsia="es-PE"/>
      </w:rPr>
      <w:drawing>
        <wp:inline distT="0" distB="0" distL="0" distR="0" wp14:anchorId="0C705AAE" wp14:editId="3E67CF04">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A162F"/>
    <w:multiLevelType w:val="multilevel"/>
    <w:tmpl w:val="9BB86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A4"/>
    <w:rsid w:val="0002405D"/>
    <w:rsid w:val="000526BE"/>
    <w:rsid w:val="00096CEC"/>
    <w:rsid w:val="00133291"/>
    <w:rsid w:val="002017D0"/>
    <w:rsid w:val="003E5EA4"/>
    <w:rsid w:val="00580259"/>
    <w:rsid w:val="00615327"/>
    <w:rsid w:val="0066257D"/>
    <w:rsid w:val="007F0EA7"/>
    <w:rsid w:val="008066EB"/>
    <w:rsid w:val="008F2267"/>
    <w:rsid w:val="009633B4"/>
    <w:rsid w:val="00AA3083"/>
    <w:rsid w:val="00AC0991"/>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paragraph" w:styleId="Ttulo1">
    <w:name w:val="heading 1"/>
    <w:basedOn w:val="Normal"/>
    <w:next w:val="Normal"/>
    <w:link w:val="Ttulo1Car"/>
    <w:uiPriority w:val="9"/>
    <w:qFormat/>
    <w:rsid w:val="0066257D"/>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link w:val="Ttulo2Car"/>
    <w:uiPriority w:val="9"/>
    <w:qFormat/>
    <w:rsid w:val="0066257D"/>
    <w:pP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E5EA4"/>
    <w:pPr>
      <w:tabs>
        <w:tab w:val="center" w:pos="4252"/>
        <w:tab w:val="right" w:pos="8504"/>
      </w:tabs>
    </w:pPr>
  </w:style>
  <w:style w:type="character" w:customStyle="1" w:styleId="EncabezadoCar">
    <w:name w:val="Encabezado Car"/>
    <w:basedOn w:val="Fuentedeprrafopredeter"/>
    <w:link w:val="Encabezado"/>
    <w:uiPriority w:val="99"/>
    <w:rsid w:val="003E5EA4"/>
    <w:rPr>
      <w:rFonts w:ascii="Arial" w:hAnsi="Arial"/>
      <w:sz w:val="20"/>
    </w:rPr>
  </w:style>
  <w:style w:type="paragraph" w:styleId="Piedepgina">
    <w:name w:val="footer"/>
    <w:basedOn w:val="Normal"/>
    <w:link w:val="PiedepginaCar"/>
    <w:uiPriority w:val="99"/>
    <w:unhideWhenUsed/>
    <w:rsid w:val="003E5EA4"/>
    <w:pPr>
      <w:tabs>
        <w:tab w:val="center" w:pos="4252"/>
        <w:tab w:val="right" w:pos="8504"/>
      </w:tabs>
    </w:pPr>
  </w:style>
  <w:style w:type="character" w:customStyle="1" w:styleId="PiedepginaCar">
    <w:name w:val="Pie de página Car"/>
    <w:basedOn w:val="Fuentedeprrafopredeter"/>
    <w:link w:val="Piedepgina"/>
    <w:uiPriority w:val="99"/>
    <w:rsid w:val="003E5EA4"/>
    <w:rPr>
      <w:rFonts w:ascii="Arial" w:hAnsi="Arial"/>
      <w:sz w:val="20"/>
    </w:rPr>
  </w:style>
  <w:style w:type="paragraph" w:styleId="Textodeglobo">
    <w:name w:val="Balloon Text"/>
    <w:basedOn w:val="Normal"/>
    <w:link w:val="TextodegloboCar"/>
    <w:uiPriority w:val="99"/>
    <w:semiHidden/>
    <w:unhideWhenUsed/>
    <w:rsid w:val="0066257D"/>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57D"/>
    <w:rPr>
      <w:rFonts w:ascii="Tahoma" w:hAnsi="Tahoma" w:cs="Tahoma"/>
      <w:sz w:val="16"/>
      <w:szCs w:val="16"/>
    </w:rPr>
  </w:style>
  <w:style w:type="character" w:customStyle="1" w:styleId="Ttulo1Car">
    <w:name w:val="Título 1 Car"/>
    <w:basedOn w:val="Fuentedeprrafopredeter"/>
    <w:link w:val="Ttulo1"/>
    <w:uiPriority w:val="9"/>
    <w:rsid w:val="0066257D"/>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66257D"/>
    <w:rPr>
      <w:rFonts w:ascii="Times New Roman" w:eastAsia="Times New Roman" w:hAnsi="Times New Roman" w:cs="Times New Roman"/>
      <w:b/>
      <w:bCs/>
      <w:sz w:val="36"/>
      <w:szCs w:val="36"/>
      <w:lang w:eastAsia="es-PE"/>
    </w:rPr>
  </w:style>
  <w:style w:type="paragraph" w:customStyle="1" w:styleId="cuerpo">
    <w:name w:val="cuerp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table" w:styleId="Tablaconcuadrcula">
    <w:name w:val="Table Grid"/>
    <w:basedOn w:val="Tablanormal"/>
    <w:uiPriority w:val="59"/>
    <w:rsid w:val="0066257D"/>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6257D"/>
    <w:rPr>
      <w:color w:val="0000FF"/>
      <w:u w:val="single"/>
    </w:rPr>
  </w:style>
  <w:style w:type="character" w:customStyle="1" w:styleId="no-style-override">
    <w:name w:val="no-style-override"/>
    <w:rsid w:val="0066257D"/>
  </w:style>
  <w:style w:type="character" w:customStyle="1" w:styleId="no-style-override-1">
    <w:name w:val="no-style-override-1"/>
    <w:rsid w:val="0066257D"/>
  </w:style>
  <w:style w:type="character" w:customStyle="1" w:styleId="no-style-override-3">
    <w:name w:val="no-style-override-3"/>
    <w:rsid w:val="0066257D"/>
  </w:style>
  <w:style w:type="character" w:customStyle="1" w:styleId="no-style-override-2">
    <w:name w:val="no-style-override-2"/>
    <w:rsid w:val="0066257D"/>
  </w:style>
  <w:style w:type="paragraph" w:customStyle="1" w:styleId="pie-p-gina">
    <w:name w:val="pie-p-gina"/>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paragraph" w:customStyle="1" w:styleId="subrayado">
    <w:name w:val="subrayad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bold-cuerpo">
    <w:name w:val="bold-cuerpo"/>
    <w:rsid w:val="0066257D"/>
  </w:style>
  <w:style w:type="paragraph" w:customStyle="1" w:styleId="x-ning-n-estilo-de-p-rrafo-">
    <w:name w:val="x-ning-n-estilo-de-p-rraf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4">
    <w:name w:val="no-style-override-4"/>
    <w:rsid w:val="00662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paragraph" w:styleId="Ttulo1">
    <w:name w:val="heading 1"/>
    <w:basedOn w:val="Normal"/>
    <w:next w:val="Normal"/>
    <w:link w:val="Ttulo1Car"/>
    <w:uiPriority w:val="9"/>
    <w:qFormat/>
    <w:rsid w:val="0066257D"/>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link w:val="Ttulo2Car"/>
    <w:uiPriority w:val="9"/>
    <w:qFormat/>
    <w:rsid w:val="0066257D"/>
    <w:pP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E5EA4"/>
    <w:pPr>
      <w:tabs>
        <w:tab w:val="center" w:pos="4252"/>
        <w:tab w:val="right" w:pos="8504"/>
      </w:tabs>
    </w:pPr>
  </w:style>
  <w:style w:type="character" w:customStyle="1" w:styleId="EncabezadoCar">
    <w:name w:val="Encabezado Car"/>
    <w:basedOn w:val="Fuentedeprrafopredeter"/>
    <w:link w:val="Encabezado"/>
    <w:uiPriority w:val="99"/>
    <w:rsid w:val="003E5EA4"/>
    <w:rPr>
      <w:rFonts w:ascii="Arial" w:hAnsi="Arial"/>
      <w:sz w:val="20"/>
    </w:rPr>
  </w:style>
  <w:style w:type="paragraph" w:styleId="Piedepgina">
    <w:name w:val="footer"/>
    <w:basedOn w:val="Normal"/>
    <w:link w:val="PiedepginaCar"/>
    <w:uiPriority w:val="99"/>
    <w:unhideWhenUsed/>
    <w:rsid w:val="003E5EA4"/>
    <w:pPr>
      <w:tabs>
        <w:tab w:val="center" w:pos="4252"/>
        <w:tab w:val="right" w:pos="8504"/>
      </w:tabs>
    </w:pPr>
  </w:style>
  <w:style w:type="character" w:customStyle="1" w:styleId="PiedepginaCar">
    <w:name w:val="Pie de página Car"/>
    <w:basedOn w:val="Fuentedeprrafopredeter"/>
    <w:link w:val="Piedepgina"/>
    <w:uiPriority w:val="99"/>
    <w:rsid w:val="003E5EA4"/>
    <w:rPr>
      <w:rFonts w:ascii="Arial" w:hAnsi="Arial"/>
      <w:sz w:val="20"/>
    </w:rPr>
  </w:style>
  <w:style w:type="paragraph" w:styleId="Textodeglobo">
    <w:name w:val="Balloon Text"/>
    <w:basedOn w:val="Normal"/>
    <w:link w:val="TextodegloboCar"/>
    <w:uiPriority w:val="99"/>
    <w:semiHidden/>
    <w:unhideWhenUsed/>
    <w:rsid w:val="0066257D"/>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57D"/>
    <w:rPr>
      <w:rFonts w:ascii="Tahoma" w:hAnsi="Tahoma" w:cs="Tahoma"/>
      <w:sz w:val="16"/>
      <w:szCs w:val="16"/>
    </w:rPr>
  </w:style>
  <w:style w:type="character" w:customStyle="1" w:styleId="Ttulo1Car">
    <w:name w:val="Título 1 Car"/>
    <w:basedOn w:val="Fuentedeprrafopredeter"/>
    <w:link w:val="Ttulo1"/>
    <w:uiPriority w:val="9"/>
    <w:rsid w:val="0066257D"/>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66257D"/>
    <w:rPr>
      <w:rFonts w:ascii="Times New Roman" w:eastAsia="Times New Roman" w:hAnsi="Times New Roman" w:cs="Times New Roman"/>
      <w:b/>
      <w:bCs/>
      <w:sz w:val="36"/>
      <w:szCs w:val="36"/>
      <w:lang w:eastAsia="es-PE"/>
    </w:rPr>
  </w:style>
  <w:style w:type="paragraph" w:customStyle="1" w:styleId="cuerpo">
    <w:name w:val="cuerp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table" w:styleId="Tablaconcuadrcula">
    <w:name w:val="Table Grid"/>
    <w:basedOn w:val="Tablanormal"/>
    <w:uiPriority w:val="59"/>
    <w:rsid w:val="0066257D"/>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6257D"/>
    <w:rPr>
      <w:color w:val="0000FF"/>
      <w:u w:val="single"/>
    </w:rPr>
  </w:style>
  <w:style w:type="character" w:customStyle="1" w:styleId="no-style-override">
    <w:name w:val="no-style-override"/>
    <w:rsid w:val="0066257D"/>
  </w:style>
  <w:style w:type="character" w:customStyle="1" w:styleId="no-style-override-1">
    <w:name w:val="no-style-override-1"/>
    <w:rsid w:val="0066257D"/>
  </w:style>
  <w:style w:type="character" w:customStyle="1" w:styleId="no-style-override-3">
    <w:name w:val="no-style-override-3"/>
    <w:rsid w:val="0066257D"/>
  </w:style>
  <w:style w:type="character" w:customStyle="1" w:styleId="no-style-override-2">
    <w:name w:val="no-style-override-2"/>
    <w:rsid w:val="0066257D"/>
  </w:style>
  <w:style w:type="paragraph" w:customStyle="1" w:styleId="pie-p-gina">
    <w:name w:val="pie-p-gina"/>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paragraph" w:customStyle="1" w:styleId="subrayado">
    <w:name w:val="subrayad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bold-cuerpo">
    <w:name w:val="bold-cuerpo"/>
    <w:rsid w:val="0066257D"/>
  </w:style>
  <w:style w:type="paragraph" w:customStyle="1" w:styleId="x-ning-n-estilo-de-p-rrafo-">
    <w:name w:val="x-ning-n-estilo-de-p-rrafo-"/>
    <w:basedOn w:val="Normal"/>
    <w:rsid w:val="0066257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4">
    <w:name w:val="no-style-override-4"/>
    <w:rsid w:val="00662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1703</Words>
  <Characters>9367</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2025-09-08T16:43:00Z</dcterms:created>
  <dcterms:modified xsi:type="dcterms:W3CDTF">2025-09-09T03:41:00Z</dcterms:modified>
</cp:coreProperties>
</file>