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46110" w14:textId="378AE51E" w:rsidR="00F23BC4" w:rsidRDefault="00F23BC4" w:rsidP="00EA464A">
      <w:pPr>
        <w:spacing w:before="120"/>
        <w:jc w:val="center"/>
        <w:rPr>
          <w:rFonts w:eastAsia="Times New Roman" w:cs="Arial"/>
          <w:b/>
          <w:bCs/>
          <w:color w:val="000000"/>
          <w:sz w:val="24"/>
          <w:szCs w:val="27"/>
          <w:lang w:eastAsia="es-PE"/>
        </w:rPr>
      </w:pPr>
      <w:bookmarkStart w:id="0" w:name="_GoBack"/>
      <w:bookmarkEnd w:id="0"/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Modifican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Texto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Único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Ordenado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Reglamento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General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Registros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Públicos</w:t>
      </w:r>
    </w:p>
    <w:p w14:paraId="5F81E07B" w14:textId="0A91A4D2" w:rsidR="00F23BC4" w:rsidRPr="00F23BC4" w:rsidRDefault="00F23BC4" w:rsidP="00EA464A">
      <w:pPr>
        <w:spacing w:before="120"/>
        <w:jc w:val="center"/>
        <w:rPr>
          <w:rFonts w:eastAsia="Times New Roman" w:cs="Arial"/>
          <w:b/>
          <w:bCs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Resolución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Superintendencia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Nacional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Registros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Públicos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00142-2025-Sunarp/SN</w:t>
      </w:r>
    </w:p>
    <w:p w14:paraId="1895BD1E" w14:textId="1CEB4DAC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Lima,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26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setiembre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2025</w:t>
      </w:r>
    </w:p>
    <w:p w14:paraId="4384D71A" w14:textId="5F235177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Vistos:</w:t>
      </w:r>
    </w:p>
    <w:p w14:paraId="5A3CEAEB" w14:textId="2BD5B74B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Informe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Técnico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00081-2025-Sunarp/DTR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18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setiembre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2025,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Dirección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Técnica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Registral;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Memorándum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01329-2025-Sunarp/OTI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19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setiembre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2025,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Oficina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Tecnologías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Información;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Memorándum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01632-2025-Sunarp/OPPM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Informe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Técnico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00167-2025-Sunarp/OPPM/UPL,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ambos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19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setiembre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2025,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Oficina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Planeamiento,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Presupuesto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Modernización;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Informe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00941-2025-Sunarp/OAJ,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22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setiembre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2025,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Oficina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Asesoría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Jurídica;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y,</w:t>
      </w:r>
    </w:p>
    <w:p w14:paraId="6E0D177B" w14:textId="61B61CE9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Considerando:</w:t>
      </w:r>
    </w:p>
    <w:p w14:paraId="074AA8EC" w14:textId="36E2B113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Superintendencia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Nacional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Públicos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-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Sunarp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organismo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técnico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especializado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Sector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Justicia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Derechos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Humanos,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tiene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objeto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dictar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políticas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técnico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administrativas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Públicos,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estando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encargada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planificar,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organizar,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normar,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dirigir,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coordinar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supervisar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inscripción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publicidad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actos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contratos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Públicos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integran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Sistema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Nacional,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conforme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determina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10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26366,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crea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Sistema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Nacional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Superintendencia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Públicos;</w:t>
      </w:r>
    </w:p>
    <w:p w14:paraId="563F141D" w14:textId="72ABE1BD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27658,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Marco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Modernización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Gestión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Estado,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declara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Estado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peruano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proceso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modernización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diferentes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instancias,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dependencias,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entidades,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organizaciones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procedimientos,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finalidad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mejorar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gestión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pública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construir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Estado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democrático,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descentralizado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servicio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ciudadanos;</w:t>
      </w:r>
    </w:p>
    <w:p w14:paraId="4CF38715" w14:textId="054A702A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marco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dispuesto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Decreto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Legislativo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1412,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Decreto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EA464A" w:rsidRPr="00F23BC4">
        <w:rPr>
          <w:rFonts w:eastAsia="Times New Roman" w:cs="Arial"/>
          <w:color w:val="000000"/>
          <w:sz w:val="24"/>
          <w:szCs w:val="27"/>
          <w:lang w:eastAsia="es-PE"/>
        </w:rPr>
        <w:t>legislativo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aprueba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Gobierno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Digital,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Sunarp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viene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desarrollando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proceso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modernización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integral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finalidad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brindar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servicios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digitales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seguros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sencillos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generen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valor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ciudadano;</w:t>
      </w:r>
    </w:p>
    <w:p w14:paraId="359215B5" w14:textId="797FC2B2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Resolución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126-2012-Sunarp/SN,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publicada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Diario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Oficial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Peruano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19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mayo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2012,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aprueba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Texto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Único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Ordenado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General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Públicos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adelante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TUO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RGRP);</w:t>
      </w:r>
    </w:p>
    <w:p w14:paraId="40579BDE" w14:textId="13741D3B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Resolución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00090-2025-Sunarp/SN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26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junio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2025,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aprueba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una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primera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modificación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parcial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TUO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RGRP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abarcó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veinte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(20)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artículos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estratégicos,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constituyendo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hito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normativo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modernización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sistema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peruano;</w:t>
      </w:r>
    </w:p>
    <w:p w14:paraId="7C0368B0" w14:textId="21968E4F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durante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proceso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implementación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primera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modificación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parcial,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Dirección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Técnica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identificó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conjunto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adicional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disposiciones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TUO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RGRP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pueden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optimizadas,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siendo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conveniente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aprobar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una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segunda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modificación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dicha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norma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aborde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determinados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temas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lastRenderedPageBreak/>
        <w:t>relevantes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modificación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once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(11)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artículos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existentes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incorporación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tres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(3)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nuevas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disposiciones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normativas;</w:t>
      </w:r>
    </w:p>
    <w:p w14:paraId="29D42E5C" w14:textId="3BE34396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contexto,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sobre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base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trabajo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mejora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continua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efectuado,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Dirección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Técnica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Registral,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documento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vistos,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ha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identificado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necesidad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prioritaria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implementar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una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segunda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modificación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parcial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TUO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RGRP;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modificación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tiene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impacto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significativo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eficiencia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modernización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procedimiento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registral,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buscando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entre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otros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objetivos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fundamentales,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adaptar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principios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registrales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fundamentales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modalidades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digitales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gestión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documental,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integrar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regulación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actos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administrativos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marco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reglamentario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lograr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coherencia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sistemática,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optimizar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procedimientos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gestión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duplicidades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registrales,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establecer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disposiciones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específicas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casos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especiales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conservación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documental,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implementar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mecanismos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tecnológicos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seguimiento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transparencia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procedimental,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eliminar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contradicciones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normativas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procedimientos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reconstrucción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registral;</w:t>
      </w:r>
    </w:p>
    <w:p w14:paraId="4C03542A" w14:textId="14969764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entre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cambios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propuestos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incluyen: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reformulación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principio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rogación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separación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principio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titulación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auténtica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como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disposición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autónoma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</w:t>
      </w:r>
      <w:r w:rsidR="00EA464A" w:rsidRPr="00F23BC4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III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Título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Preliminar);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actualización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principio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legitimación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incorporando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expresamente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cancelación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como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causa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cesación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efectos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legitimadores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</w:t>
      </w:r>
      <w:r w:rsidR="00EA464A" w:rsidRPr="00F23BC4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VII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Título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Preliminar);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modernización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cómputo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plazos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estableciendo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criterios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objetivos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verificables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4°);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perfeccionamiento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requisitos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admisibilidad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flexibilizando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criterio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pago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derechos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registrales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17);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consolidación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calificación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actos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administrativos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disposiciones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específicas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32-B);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modernización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reingreso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mandatos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judiciales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diferenciando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procedimientos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según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soporte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presentación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38);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actualización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mecanismos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notificación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judicial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incorporando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canales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digitales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45);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optimización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procedimientos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duplicidad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partidas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idénticas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58);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perfeccionamiento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procedimientos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duplicidad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inscripciones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incompatibles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60);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precisiones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régimen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superposición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parcial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63);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armonización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temporal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procedimientos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reconstrucción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118);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incorporación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procedimientos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transcripción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partidas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deterioradas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126-A);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actualización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régimen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pago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derechos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169);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implementación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una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plataforma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tecnológica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seguimiento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procedimientos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administrativos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registrales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(Segunda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Disposición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Final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Complementaria);</w:t>
      </w:r>
    </w:p>
    <w:p w14:paraId="36C0B9CF" w14:textId="1DD91067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proyecto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resolución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aprueba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segunda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modificación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parcial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TUO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RGRP,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cuenta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opinión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favorable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Oficina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Tecnologías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Información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brindada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Memorándum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01329-2025-Sunarp/OTI,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Oficina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Planeamiento,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Presupuesto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Modernización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través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Memorándum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01632-2025-Sunarp/OPPM;</w:t>
      </w:r>
    </w:p>
    <w:p w14:paraId="1AA4F8EB" w14:textId="0EC23875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5°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Marco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Producción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Sistematización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Legislativa,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aprobado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Decreto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Supremo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007-2022-JUS,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señala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sustento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todo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proyecto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normativo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pasa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Análisis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Impacto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Regulatorio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Ex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compone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exposición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motivos;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concordancia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establecido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6°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Decreto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Legislativo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lastRenderedPageBreak/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1565,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regula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obligatoriedad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Análisis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Impacto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Regulatorio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Ex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Ante,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propuesta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normativa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requiere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someterse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Análisis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Impacto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Regulatorio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Ex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Ante,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toda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vez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encuentra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comprendido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supuestos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excepción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establecidos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literal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l)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numeral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41.1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41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Decreto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Legislativo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1565,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aprobado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Decreto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Supremo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023-2025-PCM;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remite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supuestos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señalados,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específicamente,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literal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a)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numeral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50.2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50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citado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Reglamento,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establece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están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fuera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alcance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ACR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Ex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Ante,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eliminación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simplificación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procedimientos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administrativos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requisitos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condiciones;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así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como,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modificaciones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impliquen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creación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nuevos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procedimientos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requisitos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ni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cambios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sustantivos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aumenten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carga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administrativa;</w:t>
      </w:r>
    </w:p>
    <w:p w14:paraId="45EE041F" w14:textId="67A332A1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segunda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modificación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parcial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TUO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RGRP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establece,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incorpora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ni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modifica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reglas,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prohibiciones,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limitaciones,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obligaciones,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condiciones,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requisitos,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responsabilidades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cualquier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exigencia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generen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impliquen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variación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costos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cumplimiento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empresas,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ciudadanos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sociedad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civil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limiten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otorgamiento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reconocimiento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derechos,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conforme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parámetros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establecidos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numeral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33.2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33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Decreto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Legislativo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1565;</w:t>
      </w:r>
    </w:p>
    <w:p w14:paraId="5720EE4E" w14:textId="47771F2F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través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Resolución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00127-2025-Sunarp/SN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27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agosto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2025,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publicada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Diario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Oficial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Peruano,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dispuso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formalmente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publicación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proyecto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normativo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norma,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estableciendo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plazo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quince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(15)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días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calendario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recepción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comentarios,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aportes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u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opiniones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entidades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públicas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privadas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ciudadanía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general;</w:t>
      </w:r>
    </w:p>
    <w:p w14:paraId="25630665" w14:textId="102197A5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proyecto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resolución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fue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sometido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evaluación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excepción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Análisis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Impacto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Regulatorio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Ex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Ante,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adelante,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AIR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ex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ante),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cuya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solicitud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fue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enviada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Oficial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Mejora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Calidad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Regulatoria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Secretaría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Técnica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Comisión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Multisectorial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Calidad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Regulatoria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-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CMCR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Presidencia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Consejo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Ministros.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esta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forma,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tras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evaluación,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Secretaría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Técnica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CMCR,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correo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16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septiembre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2025,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declaró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Improcedencia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AIR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Ex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proyecto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normativo,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virtud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excepción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literal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"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"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numeral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41.1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41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General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Mejora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Regulatoria,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aprobado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Decreto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Supremo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023-2025-PCM.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tanto,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entidad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requiere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presentar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expediente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AIR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Ex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citado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proyecto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CMCR.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Asimismo,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señaló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medida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proyecto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normativo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contiene/modifica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procedimientos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administrativos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bajo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alcance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Análisis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Calidad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Regulatoria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(ACR)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precisa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requiere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realizar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ACR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Ex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previo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aprobación;</w:t>
      </w:r>
    </w:p>
    <w:p w14:paraId="62F92549" w14:textId="7F46D67E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Informe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00941-2025-Sunarp/OAJ,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Oficina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Asesoría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Jurídica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concluye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conforme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previsto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literal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b)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9°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Texto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Integrado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Organización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Funciones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Sunarp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literal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b)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5°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Interno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Consejo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Directivo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Sunarp,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corresponde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Consejo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Directivo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aprobar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segunda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modificación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parcial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TUO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RGRP;</w:t>
      </w:r>
    </w:p>
    <w:p w14:paraId="0B183E22" w14:textId="767ED647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lastRenderedPageBreak/>
        <w:t>Que,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Sesión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Consejo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Directivo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507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25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setiembre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2025,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aprueba,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segunda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modificación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parcial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Texto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Único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Ordenado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General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Públicos;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facultando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Superintendente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Nacional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Públicos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formalización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acto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resolutivo;</w:t>
      </w:r>
    </w:p>
    <w:p w14:paraId="3C14654F" w14:textId="787721F9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conformidad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dispuesto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26366,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creación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Sistema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Nacional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Públicos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Superintendencia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Públicos,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Texto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Integrado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Organización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Funciones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Sunarp,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actualizado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través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Resolución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00125-2024-Sunarp/SN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Interno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Consejo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Directivo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Sunarp,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aprobado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Resolución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224-2016-Sunarp/SN;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visado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Gerencia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General,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Dirección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Técnica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Registral,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Oficina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Planeamiento,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Presupuesto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Modernización,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Oficina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Tecnologías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Información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Oficina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Asesoría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Jurídica;</w:t>
      </w:r>
    </w:p>
    <w:p w14:paraId="757F620F" w14:textId="1878C915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resuelve:</w:t>
      </w:r>
    </w:p>
    <w:p w14:paraId="1DBDE98A" w14:textId="05195AA2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1°.-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Modificación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parcial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Texto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Único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Ordenado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Reglamento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General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Registros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Públicos.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Modificar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artículos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III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VII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Título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Preliminar,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4,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17,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38,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45,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58,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60,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63,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118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169;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así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como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incorporar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artículos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32-B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126-A,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Segunda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Disposición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Final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Complementaria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Texto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Único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Ordenado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Reglamento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General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Públicos,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aprobado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Resolución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126-2012-Sunarp-SN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modificado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Resolución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00090-2025-Sunarp/SN,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quedan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redactados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tenor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siguiente:</w:t>
      </w:r>
    </w:p>
    <w:p w14:paraId="19B50497" w14:textId="6E45CF80" w:rsidR="00F23BC4" w:rsidRPr="00F23BC4" w:rsidRDefault="00EA464A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"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III: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Principio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rogación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y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titulación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auténtica</w:t>
      </w:r>
    </w:p>
    <w:p w14:paraId="507DC3D6" w14:textId="2D716572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III.1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procedimiento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registral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inscripción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desarrolla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solicitud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interesado,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mediante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presentación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título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sustenta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petitorio.</w:t>
      </w:r>
    </w:p>
    <w:p w14:paraId="03CEBE50" w14:textId="53AF44B4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III.2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solicitud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inscripción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alcanza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todos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actos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derechos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inscribibles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contenidos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título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salvo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reserva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expresa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inscripción.</w:t>
      </w:r>
    </w:p>
    <w:p w14:paraId="2D67C72C" w14:textId="17EAB842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III.3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presentante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título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interesado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presume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actúa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representación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adquirente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derecho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directamente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beneficiado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inscripción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solicita.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Si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indica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solicitud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inscripción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actúa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interés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persona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distinta,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pueden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intervenir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procedimiento,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indistintamente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presentante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su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representada.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caso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contradicción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conflicto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prima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solicitud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representada.</w:t>
      </w:r>
    </w:p>
    <w:p w14:paraId="0150C119" w14:textId="4F183917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III.4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procedimiento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electrónico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inscripción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presentante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quien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expide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título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inscribible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legalmente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facultado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para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expedir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un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traslado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valor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legal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mismo.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exceptúa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anterior,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procedimiento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electrónico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inscripción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sustentado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título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electrónico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previamente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inscrito.</w:t>
      </w:r>
    </w:p>
    <w:p w14:paraId="120C94F5" w14:textId="1FD40DF6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III.5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inscripciones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practican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mediante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asientos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registrales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extendidos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virtud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título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conste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documento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público,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salvo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disposición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contraria.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"</w:t>
      </w:r>
    </w:p>
    <w:p w14:paraId="07BB2951" w14:textId="66907C95" w:rsidR="00F23BC4" w:rsidRPr="00F23BC4" w:rsidRDefault="00EA464A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"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VII: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Principio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legitimación</w:t>
      </w:r>
    </w:p>
    <w:p w14:paraId="322CAAC8" w14:textId="36266B79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lastRenderedPageBreak/>
        <w:t>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asientos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registrales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presumen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exactos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válidos.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Producen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todos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sus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efectos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legitiman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titular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registral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actuar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conforme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ellos,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mientras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rectifiquen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términos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establecidos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este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Reglamento,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cancelen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declare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su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invalidez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vía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judicial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arbitral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mediante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resolución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laudo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firme.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"</w:t>
      </w:r>
    </w:p>
    <w:p w14:paraId="76A08C23" w14:textId="5FACFC94" w:rsidR="00F23BC4" w:rsidRPr="00F23BC4" w:rsidRDefault="00EA464A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"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Artículo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4°.-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Cómputo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plazos.</w:t>
      </w:r>
    </w:p>
    <w:p w14:paraId="082D1C3B" w14:textId="2408FAAF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4.1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plazos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aplicables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procedimientos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regulados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este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reglamento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cuentan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días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hábiles,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salvo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disposición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contrario.</w:t>
      </w:r>
    </w:p>
    <w:p w14:paraId="45A0C8E4" w14:textId="66FB2EAF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4.2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consideran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días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hábiles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comprendidos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entre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lunes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viernes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cada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semana,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excluyéndose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días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feriados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días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declarados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laborables,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nacionales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locales.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cómputo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excluye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día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inicial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incluye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día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vencimiento.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"</w:t>
      </w:r>
    </w:p>
    <w:p w14:paraId="4447BB47" w14:textId="38782E09" w:rsidR="00F23BC4" w:rsidRPr="00F23BC4" w:rsidRDefault="00EA464A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"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Artículo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17.-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Requisitos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admisibilidad.</w:t>
      </w:r>
    </w:p>
    <w:p w14:paraId="0EE87494" w14:textId="48D36528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17.1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Está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prohibido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rechazar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plano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una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solicitud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inscripción,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salvo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presentante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acompañe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documentación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indicada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solicitud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acompañe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sólo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copia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simple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abone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derechos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calificación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menos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uno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actos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contenidos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título.</w:t>
      </w:r>
    </w:p>
    <w:p w14:paraId="06CD06D2" w14:textId="734D9F38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17.2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Tratándose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partes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judiciales,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constituye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requisito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admisibilidad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pago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derechos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momento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presentación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título,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pudiendo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diferido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este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pago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hasta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emita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liquidación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respectiva.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"</w:t>
      </w:r>
    </w:p>
    <w:p w14:paraId="028B4A7C" w14:textId="08437743" w:rsidR="00F23BC4" w:rsidRPr="00F23BC4" w:rsidRDefault="00EA464A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"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Artículo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32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B.-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Alcances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calificación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actos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administrativos.</w:t>
      </w:r>
    </w:p>
    <w:p w14:paraId="34B52042" w14:textId="3D51D27F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32-B.1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Tratándose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actos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administrativos,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instancias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registrales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califican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competencia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funcionario,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formalidad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decisión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administrativa,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carácter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inscribible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acto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derecho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adecuación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título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antecedentes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registrales.</w:t>
      </w:r>
    </w:p>
    <w:p w14:paraId="23A35A13" w14:textId="07D16618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32-B.2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instancias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registrales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podrán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evaluar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fundamentos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hecho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derecho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ha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tenido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Administración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para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emitir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acto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administrativo,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ni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validez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procedimiento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administrativo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cual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ha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dictado.</w:t>
      </w:r>
    </w:p>
    <w:p w14:paraId="4CC34A11" w14:textId="28DB1A2D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32-B.3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requiere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acreditar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agotamiento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vía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administrativa,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salvo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disposición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vigente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así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exija.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"</w:t>
      </w:r>
    </w:p>
    <w:p w14:paraId="7AFD4CBB" w14:textId="723B6262" w:rsidR="00F23BC4" w:rsidRPr="00F23BC4" w:rsidRDefault="00EA464A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38.-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Reingreso</w:t>
      </w:r>
      <w:r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mandatos</w:t>
      </w:r>
      <w:r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judiciales.</w:t>
      </w:r>
    </w:p>
    <w:p w14:paraId="6275AAFA" w14:textId="3DE964DC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38.1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subsanación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defectos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advertidos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denegatoria,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caso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mandatos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judiciales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presentados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soporte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papel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puede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ingresada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Registro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interesado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mediante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trámite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reingreso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títulos,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comunicada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directamente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magistrado,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dentro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plazos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establecidos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indicando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número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fecha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título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respectivo;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cuyo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caso,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oficina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trámite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documentario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efectúa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reingreso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correspondiente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brevedad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posible.</w:t>
      </w:r>
    </w:p>
    <w:p w14:paraId="572D1B33" w14:textId="1C2D76B5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38.2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Para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pago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derechos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registrales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caso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mandatos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judiciales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Registrador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debe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emitir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respectiva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esquela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liquidación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específica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para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comunicar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sobre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derechos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pendientes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pago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lastRenderedPageBreak/>
        <w:t>Juzgado,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efectos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interesado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también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pueda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realizar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dicho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pago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mediante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trámite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reingreso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títulos,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bastando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indique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número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fecha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título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respectivo.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"</w:t>
      </w:r>
    </w:p>
    <w:p w14:paraId="63712019" w14:textId="48574892" w:rsidR="00F23BC4" w:rsidRPr="00F23BC4" w:rsidRDefault="00EA464A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"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Artículo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45.-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Notificación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aclaración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y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tacha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resoluciones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judiciales.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Los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pedidos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aclaración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resoluciones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judiciales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y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tacha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procesal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por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caducidad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del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asiento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presentación,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caso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las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resoluciones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judiciales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ordenan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una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inscripción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comunica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al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órgano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judicial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través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oficio,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soporte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físico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mediante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uso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canales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digitales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implementados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por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Sunarp.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"</w:t>
      </w:r>
    </w:p>
    <w:p w14:paraId="05E95818" w14:textId="424FC75B" w:rsidR="00F23BC4" w:rsidRPr="00F23BC4" w:rsidRDefault="00EA464A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58.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-</w:t>
      </w:r>
      <w:r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Duplicidad</w:t>
      </w:r>
      <w:r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partidas</w:t>
      </w:r>
      <w:r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idénticas.</w:t>
      </w:r>
    </w:p>
    <w:p w14:paraId="63E5519B" w14:textId="7CA452A1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58.1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Cuando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partidas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registrales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duplicadas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contengan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mismas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inscripciones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anotaciones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referidas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mismos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actos,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inscritas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mérito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mismo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distinto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título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formal,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jefe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Unidad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Registral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competente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dispone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cierre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partida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menos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antigua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extensión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una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anotación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más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antigua,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dejando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constancia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contiene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mismos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asientos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partida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fue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cerrada,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indicación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su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número.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Asimismo,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anotación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cierre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deja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constancia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inscripciones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anotaciones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encuentran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registradas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partida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permanece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abierta.</w:t>
      </w:r>
    </w:p>
    <w:p w14:paraId="6F788CAF" w14:textId="213AF8DB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58.2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Cuando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partidas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idénticas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generaron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mérito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mismo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título,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permanece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abierta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aquella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cuyo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número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consignó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respectiva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anotación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inscripción;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si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ésta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indica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número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partida,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dispone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cierre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aquélla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cuyo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número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correlativo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mayor.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este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último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caso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dispone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además,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rectificación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omisión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incurrida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anotación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inscripción.</w:t>
      </w:r>
    </w:p>
    <w:p w14:paraId="7EBA0C8F" w14:textId="42B3558F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58.3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registrador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ejecuta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resolución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también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debe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actualizar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índice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respecto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partidas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involucradas.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"</w:t>
      </w:r>
    </w:p>
    <w:p w14:paraId="4280B4DF" w14:textId="54DB4339" w:rsidR="00F23BC4" w:rsidRPr="00F23BC4" w:rsidRDefault="00EA464A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"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Artículo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60.-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Duplicidad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partidas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con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inscripciones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incompatibles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y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oposición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.</w:t>
      </w:r>
    </w:p>
    <w:p w14:paraId="5EA7B0A4" w14:textId="01809FC5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60.1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procedimiento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cierre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partidas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registrales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duplicidad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inscripciones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incompatibles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inicia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oficio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Jefatura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Unidad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Registral.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caso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Registro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Predios,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mencionada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Jefatura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dispone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inicio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cuando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área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técnica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ha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determinado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certeza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existencia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superposición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siempre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haya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descartado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supuestos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excepcionales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previstos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Lineamientos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aprobados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Resolución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008-2022-Sunarp/DTR.</w:t>
      </w:r>
    </w:p>
    <w:p w14:paraId="6230776A" w14:textId="469F4FE5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60.2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resolución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emita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Unidad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Registral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notifica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titulares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partidas,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así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como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aquellos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cuyos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derechos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inscritos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puedan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ver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afectados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eventual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cierre,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arreglo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régimen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legal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notificación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previsto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Ley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Procedimiento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Administrativo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General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y,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su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caso,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mediante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Sistema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Notificación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Electrónica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Sunarp,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fin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formule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oposición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cierre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dentro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sesenta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(60)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días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siguientes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esta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notificación.</w:t>
      </w:r>
    </w:p>
    <w:p w14:paraId="786216AA" w14:textId="1B4619BF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60.3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Una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vez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haya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dispuesto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inicio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procedimiento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cierre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partidas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duplicidad,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sin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perjuicio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presunción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absoluta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conocimiento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refiere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artículo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2012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Código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Civil,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publicitará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lastRenderedPageBreak/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procedimiento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través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un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aviso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virtual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digital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Sunarp,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así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como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mediante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anotaciones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partidas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involucradas,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fin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cualquier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interesado,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su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caso,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pueda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apersonarse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procedimiento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formular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oposición.</w:t>
      </w:r>
    </w:p>
    <w:p w14:paraId="660C6CF2" w14:textId="5AF6D62D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60.4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aviso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refiere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numeral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anterior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debe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contener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siguiente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información:</w:t>
      </w:r>
    </w:p>
    <w:p w14:paraId="05BC5D0E" w14:textId="7670BA02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a)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Número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resolución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dispone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inicio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trámite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cierre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partida,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así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como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nombre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cargo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funcionario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emite.</w:t>
      </w:r>
    </w:p>
    <w:p w14:paraId="264A8D19" w14:textId="06E08DC8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b)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Descripción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bien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u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otro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elemento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originó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apertura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cada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partida,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según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caso.</w:t>
      </w:r>
    </w:p>
    <w:p w14:paraId="1513B59A" w14:textId="09997E72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c)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Datos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identificación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partidas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involucradas.</w:t>
      </w:r>
    </w:p>
    <w:p w14:paraId="302A8D4B" w14:textId="27CC7033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d)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Nombre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titulares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partidas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involucradas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tratándose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bienes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aquellos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cuyo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derecho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pueda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ver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perjudicado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demás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casos.</w:t>
      </w:r>
    </w:p>
    <w:p w14:paraId="6B7B407F" w14:textId="67340833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e)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indicación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sin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perjuicio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notificaciones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realizadas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sujetos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procedimiento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conforme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régimen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previsto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Ley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Procedimiento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Administrativo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General,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cualquier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interesado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puede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formular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oposición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cierre.</w:t>
      </w:r>
    </w:p>
    <w:p w14:paraId="72664890" w14:textId="0A14D43A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60.5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caso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un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tercero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interesado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presente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oposición,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podrá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realizarlo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cualquier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momento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antes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conclusión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procedimiento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conformidad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dispuesto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artículo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71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numeral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3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TUO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Ley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N.°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27444.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formularse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oposición,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Unidad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Registral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dispone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cierre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partida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registral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menos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antigua.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caso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formule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oposición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cual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debe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presentarse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ante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Unidad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Registral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través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canales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digitales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Sunarp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establezca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para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tal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fin,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procedimiento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administrativo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cierre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partidas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concluido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ordena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deje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constancia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tal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circunstancia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partidas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duplicadas.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Concluido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procedimiento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expedito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derecho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interesados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demandar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ante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órgano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jurisdiccional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correspondiente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declaración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cierre,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cancelación,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invalidez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cualquier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otra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pretensión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destinada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rectificar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duplicidad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existente.</w:t>
      </w:r>
    </w:p>
    <w:p w14:paraId="58FAA30A" w14:textId="7F7CCACE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60.6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oposición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formula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escrito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presenta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forma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presencial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través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canales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digitales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habilitados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Sunarp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manifestando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inexistencia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duplicidad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improcedencia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cierre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partidas,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según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caso.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"</w:t>
      </w:r>
    </w:p>
    <w:p w14:paraId="224D91AC" w14:textId="165A5422" w:rsidR="00F23BC4" w:rsidRPr="00F23BC4" w:rsidRDefault="00EA464A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"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Artículo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63.-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Superposición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parcial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y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eventual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desmembración.</w:t>
      </w:r>
    </w:p>
    <w:p w14:paraId="14DA4190" w14:textId="37023CC3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63.1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Cuando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duplicidad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generada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superposición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parcial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predios,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procede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conformidad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establecido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artículo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60.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especifica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respectiva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anotación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cierre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área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comprendida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predio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inscrito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partida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menos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antigua,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dejando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constancia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área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encuentra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superpuesta,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precisando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linderos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medidas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perimétricas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respecto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área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encuentra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afecta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cierre,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posible;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salvo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pueda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establecer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exactitud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área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superpuesta,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cuyo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caso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señala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su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ubicación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área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aproximada,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misma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determinada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área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técnica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Subdirección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Base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Gráfica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Registral,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según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instancia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correspondiente.</w:t>
      </w:r>
    </w:p>
    <w:p w14:paraId="1411EF22" w14:textId="06E0AEF9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lastRenderedPageBreak/>
        <w:t>63.2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Tratándose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superposiciones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generadas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independizaciones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respecto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extendió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asiento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modificación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área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ni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respectiva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anotación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independización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partida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matriz,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siempre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asientos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respectivas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partidas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sean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compatibles,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dispone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registrador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extienda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vía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regularización,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asiento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anotación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correlación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omitidos,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indicando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primer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caso,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cuando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corresponda,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área,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linderos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medidas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perimétricas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reducida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área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mayor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como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consecuencia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desmembración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regulariza.</w:t>
      </w:r>
    </w:p>
    <w:p w14:paraId="0F0F9936" w14:textId="06670903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63.3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Si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superposición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refiere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párrafo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anterior,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detectada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instancias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calificación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registral,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éstas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disponen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efectúan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según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corresponda,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oficio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petición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parte,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extensión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asiento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anotación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omitidos,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forma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señalada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párrafo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precedente.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"</w:t>
      </w:r>
    </w:p>
    <w:p w14:paraId="06E5BF88" w14:textId="11C4E02C" w:rsidR="00F23BC4" w:rsidRPr="00F23BC4" w:rsidRDefault="00EA464A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"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Artículo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118.-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Plazo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reconstrucción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inscripciones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provisionales.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período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reconstrucción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durará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seis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(6)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meses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contados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desde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fecha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publicación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del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aviso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virtual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sede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digital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Sunarp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,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período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cual,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Unidad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Registral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mediante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resoluciones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debidamente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motivadas,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ordenará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extiendan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provisionalmente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los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asientos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reemplacen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aquellos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quedaron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destruidos,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cuando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obtenga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información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permita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acreditar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su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anterior</w:t>
      </w:r>
      <w:r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inscripción.</w:t>
      </w:r>
    </w:p>
    <w:p w14:paraId="36F17689" w14:textId="74E64AA1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asientos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provisionales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refiere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párrafo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precedente,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gozan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efectos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inherentes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inscripciones,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teniendo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carácter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meramente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informativo.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>"</w:t>
      </w:r>
    </w:p>
    <w:p w14:paraId="59981549" w14:textId="50472FAB" w:rsidR="00F23BC4" w:rsidRPr="00F23BC4" w:rsidRDefault="00EA464A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126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A-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Transcripción</w:t>
      </w:r>
      <w:r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partidas</w:t>
      </w:r>
      <w:r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deterioradas.</w:t>
      </w:r>
      <w:r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Cuando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una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partida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registral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formato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papel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(tomo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o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ficha)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encuentre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deteriorada,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pero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no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destruida</w:t>
      </w:r>
      <w:r w:rsidR="00F23BC4" w:rsidRPr="00F23BC4">
        <w:rPr>
          <w:rFonts w:eastAsia="Times New Roman" w:cs="Arial"/>
          <w:color w:val="000000"/>
          <w:sz w:val="24"/>
          <w:szCs w:val="27"/>
          <w:u w:val="single"/>
          <w:lang w:eastAsia="es-PE"/>
        </w:rPr>
        <w:t>,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información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pueda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obtenerse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revisión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física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misma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partida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o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títulos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archivados,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Unidad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Registral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dispone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registrador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efectúe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transcripción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asiento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o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asientos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registrales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deteriorados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nuevos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asientos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misma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partida,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dejando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expresa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constancia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extienden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transcripción.</w:t>
      </w:r>
      <w:r>
        <w:rPr>
          <w:rFonts w:eastAsia="Times New Roman" w:cs="Arial"/>
          <w:color w:val="000000"/>
          <w:sz w:val="24"/>
          <w:szCs w:val="27"/>
          <w:lang w:eastAsia="es-PE"/>
        </w:rPr>
        <w:t>"</w:t>
      </w:r>
    </w:p>
    <w:p w14:paraId="3A757F5D" w14:textId="341D90D2" w:rsidR="00F23BC4" w:rsidRPr="00F23BC4" w:rsidRDefault="00EA464A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color w:val="000000"/>
          <w:sz w:val="24"/>
          <w:szCs w:val="27"/>
          <w:lang w:eastAsia="es-PE"/>
        </w:rPr>
        <w:t>169.-</w:t>
      </w:r>
      <w:r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Pago</w:t>
      </w:r>
      <w:r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</w:t>
      </w:r>
      <w:r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derechos.</w:t>
      </w:r>
    </w:p>
    <w:p w14:paraId="48A3F790" w14:textId="65474500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169.1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Constituye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requisito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para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admisión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solicitud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inscripción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expedición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certificados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otros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servicios,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pago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derechos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calificación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por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menos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uno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actos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contenidos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título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monto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mínimo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establecido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su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caso,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respectivamente,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salvo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excepciones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previstas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acredite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exoneración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inafectación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correspondiente.</w:t>
      </w:r>
    </w:p>
    <w:p w14:paraId="555D34EA" w14:textId="12845CBC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169.2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derechos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inscripción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pueden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ser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pagados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conjuntamente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derechos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calificación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luego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presentación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título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mediante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pago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cuenta</w:t>
      </w: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,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forma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presencial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mediante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canales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digitales.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"</w:t>
      </w:r>
    </w:p>
    <w:p w14:paraId="692C0931" w14:textId="66BD7ED6" w:rsidR="00F23BC4" w:rsidRPr="00F23BC4" w:rsidRDefault="00EA464A" w:rsidP="00EA464A">
      <w:pPr>
        <w:spacing w:before="120"/>
        <w:jc w:val="center"/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</w:pP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"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Disposición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Final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="00F23BC4"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Complementaria</w:t>
      </w:r>
    </w:p>
    <w:p w14:paraId="3BA39854" w14:textId="7AAED372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(...)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.</w:t>
      </w:r>
    </w:p>
    <w:p w14:paraId="3DFB6D36" w14:textId="3CFB6FB3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Segunda.-</w:t>
      </w:r>
      <w:r w:rsidR="00EA464A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Plataforma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seguimiento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procedimientos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administrativos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registrales.</w:t>
      </w:r>
      <w:r w:rsidR="00EA464A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Superintendencia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Nacional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Públicos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implementará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una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plataforma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tecnológica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permita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usuarios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realizar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lastRenderedPageBreak/>
        <w:t>seguimiento,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tiempo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real,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estado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tramitación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procedimientos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administrativos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registrales.</w:t>
      </w:r>
    </w:p>
    <w:p w14:paraId="71998E33" w14:textId="5855719B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Sunarp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dictará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disposiciones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complementarias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necesarias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desarrollo,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implementación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uso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plataforma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refiere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disposición.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>"</w:t>
      </w:r>
    </w:p>
    <w:p w14:paraId="02A65246" w14:textId="3CBB96D4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2°.-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Publicación.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resolución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será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publicada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sede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digital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Superintendencia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Nacional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Registros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Públicos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(www.gob.pe/sunarp),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mismo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día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publicación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Diario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Oficial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Peruano.</w:t>
      </w:r>
    </w:p>
    <w:p w14:paraId="71ED7BAB" w14:textId="7405CCF8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3°.-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Entrada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>vigencia.</w:t>
      </w:r>
      <w:r w:rsidR="00EA464A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resolución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entra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vigencia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desde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día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siguiente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publicación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Diario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Oficial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Peruano.</w:t>
      </w:r>
    </w:p>
    <w:p w14:paraId="3EAE37A5" w14:textId="5C76CBA4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Regístrese,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comuníquese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publíquese.</w:t>
      </w:r>
    </w:p>
    <w:p w14:paraId="3C999DC4" w14:textId="7B37CD01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Armando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Miguel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Subauste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Bracesco</w:t>
      </w:r>
    </w:p>
    <w:p w14:paraId="6C464676" w14:textId="4383145B" w:rsidR="00F23BC4" w:rsidRPr="00F23BC4" w:rsidRDefault="00F23BC4" w:rsidP="00EA464A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Superintendente</w:t>
      </w:r>
      <w:r w:rsidR="00EA464A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Nacional</w:t>
      </w:r>
    </w:p>
    <w:p w14:paraId="5F0A0A09" w14:textId="558EEE19" w:rsidR="00F23BC4" w:rsidRPr="00F23BC4" w:rsidRDefault="00F23BC4" w:rsidP="00EA464A">
      <w:pPr>
        <w:spacing w:before="120"/>
        <w:rPr>
          <w:rFonts w:eastAsia="Times New Roman" w:cs="Arial"/>
          <w:color w:val="000000"/>
          <w:szCs w:val="27"/>
          <w:lang w:eastAsia="es-PE"/>
        </w:rPr>
      </w:pPr>
      <w:r w:rsidRPr="00F23BC4">
        <w:rPr>
          <w:rFonts w:eastAsia="Times New Roman" w:cs="Arial"/>
          <w:color w:val="000000"/>
          <w:sz w:val="24"/>
          <w:szCs w:val="27"/>
          <w:lang w:eastAsia="es-PE"/>
        </w:rPr>
        <w:t>Sunarp</w:t>
      </w:r>
    </w:p>
    <w:p w14:paraId="68AADFE6" w14:textId="4F2B0F4A" w:rsidR="00F23BC4" w:rsidRPr="00F23BC4" w:rsidRDefault="00F23BC4" w:rsidP="00EA464A">
      <w:pPr>
        <w:spacing w:before="120"/>
        <w:jc w:val="center"/>
        <w:rPr>
          <w:rFonts w:cs="Arial"/>
        </w:rPr>
      </w:pPr>
      <w:r w:rsidRPr="00F23BC4">
        <w:rPr>
          <w:rFonts w:cs="Arial"/>
        </w:rPr>
        <w:t>Documento</w:t>
      </w:r>
      <w:r w:rsidR="00EA464A">
        <w:rPr>
          <w:rFonts w:cs="Arial"/>
        </w:rPr>
        <w:t xml:space="preserve"> </w:t>
      </w:r>
      <w:r w:rsidRPr="00F23BC4">
        <w:rPr>
          <w:rFonts w:cs="Arial"/>
        </w:rPr>
        <w:t>publicado</w:t>
      </w:r>
      <w:r w:rsidR="00EA464A">
        <w:rPr>
          <w:rFonts w:cs="Arial"/>
        </w:rPr>
        <w:t xml:space="preserve"> </w:t>
      </w:r>
      <w:r w:rsidRPr="00F23BC4">
        <w:rPr>
          <w:rFonts w:cs="Arial"/>
        </w:rPr>
        <w:t>en</w:t>
      </w:r>
      <w:r w:rsidR="00EA464A">
        <w:rPr>
          <w:rFonts w:cs="Arial"/>
        </w:rPr>
        <w:t xml:space="preserve"> </w:t>
      </w:r>
      <w:r w:rsidRPr="00F23BC4">
        <w:rPr>
          <w:rFonts w:cs="Arial"/>
        </w:rPr>
        <w:t>el</w:t>
      </w:r>
      <w:r w:rsidR="00EA464A">
        <w:rPr>
          <w:rFonts w:cs="Arial"/>
        </w:rPr>
        <w:t xml:space="preserve"> </w:t>
      </w:r>
      <w:r w:rsidRPr="00F23BC4">
        <w:rPr>
          <w:rFonts w:cs="Arial"/>
        </w:rPr>
        <w:t>Diario</w:t>
      </w:r>
      <w:r w:rsidR="00EA464A">
        <w:rPr>
          <w:rFonts w:cs="Arial"/>
        </w:rPr>
        <w:t xml:space="preserve"> </w:t>
      </w:r>
      <w:r w:rsidRPr="00F23BC4">
        <w:rPr>
          <w:rFonts w:cs="Arial"/>
        </w:rPr>
        <w:t>Oficial</w:t>
      </w:r>
      <w:r w:rsidR="00EA464A">
        <w:rPr>
          <w:rFonts w:cs="Arial"/>
        </w:rPr>
        <w:t xml:space="preserve"> "</w:t>
      </w:r>
      <w:r w:rsidRPr="00F23BC4">
        <w:rPr>
          <w:rFonts w:cs="Arial"/>
        </w:rPr>
        <w:t>El</w:t>
      </w:r>
      <w:r w:rsidR="00EA464A">
        <w:rPr>
          <w:rFonts w:cs="Arial"/>
        </w:rPr>
        <w:t xml:space="preserve"> </w:t>
      </w:r>
      <w:r w:rsidRPr="00F23BC4">
        <w:rPr>
          <w:rFonts w:cs="Arial"/>
        </w:rPr>
        <w:t>Peruano</w:t>
      </w:r>
      <w:r w:rsidR="00EA464A">
        <w:rPr>
          <w:rFonts w:cs="Arial"/>
        </w:rPr>
        <w:t xml:space="preserve">" </w:t>
      </w:r>
      <w:r w:rsidRPr="00F23BC4">
        <w:rPr>
          <w:rFonts w:cs="Arial"/>
        </w:rPr>
        <w:t>el</w:t>
      </w:r>
      <w:r w:rsidR="00EA464A">
        <w:rPr>
          <w:rFonts w:cs="Arial"/>
        </w:rPr>
        <w:t xml:space="preserve"> </w:t>
      </w:r>
      <w:r w:rsidRPr="00F23BC4">
        <w:rPr>
          <w:rFonts w:cs="Arial"/>
        </w:rPr>
        <w:t>30</w:t>
      </w:r>
      <w:r w:rsidR="00EA464A">
        <w:rPr>
          <w:rFonts w:cs="Arial"/>
        </w:rPr>
        <w:t xml:space="preserve"> </w:t>
      </w:r>
      <w:r w:rsidRPr="00F23BC4">
        <w:rPr>
          <w:rFonts w:cs="Arial"/>
        </w:rPr>
        <w:t>de</w:t>
      </w:r>
      <w:r w:rsidR="00EA464A">
        <w:rPr>
          <w:rFonts w:cs="Arial"/>
        </w:rPr>
        <w:t xml:space="preserve"> </w:t>
      </w:r>
      <w:r w:rsidRPr="00F23BC4">
        <w:rPr>
          <w:rFonts w:cs="Arial"/>
        </w:rPr>
        <w:t>setiembre</w:t>
      </w:r>
      <w:r w:rsidR="00EA464A">
        <w:rPr>
          <w:rFonts w:cs="Arial"/>
        </w:rPr>
        <w:t xml:space="preserve"> </w:t>
      </w:r>
      <w:r w:rsidRPr="00F23BC4">
        <w:rPr>
          <w:rFonts w:cs="Arial"/>
        </w:rPr>
        <w:t>del</w:t>
      </w:r>
      <w:r w:rsidR="00EA464A">
        <w:rPr>
          <w:rFonts w:cs="Arial"/>
        </w:rPr>
        <w:t xml:space="preserve"> </w:t>
      </w:r>
      <w:r w:rsidRPr="00F23BC4">
        <w:rPr>
          <w:rFonts w:cs="Arial"/>
        </w:rPr>
        <w:t>2025.</w:t>
      </w:r>
    </w:p>
    <w:sectPr w:rsidR="00F23BC4" w:rsidRPr="00F23BC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0E1AA" w14:textId="77777777" w:rsidR="005A05FC" w:rsidRDefault="005A05FC" w:rsidP="00F23BC4">
      <w:r>
        <w:separator/>
      </w:r>
    </w:p>
  </w:endnote>
  <w:endnote w:type="continuationSeparator" w:id="0">
    <w:p w14:paraId="2E9E81B1" w14:textId="77777777" w:rsidR="005A05FC" w:rsidRDefault="005A05FC" w:rsidP="00F2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CB75F" w14:textId="32C54455" w:rsidR="00F23BC4" w:rsidRPr="00EA464A" w:rsidRDefault="00F23BC4" w:rsidP="00EA464A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>Un</w:t>
    </w:r>
    <w:r w:rsidR="00EA464A">
      <w:rPr>
        <w:rFonts w:ascii="Calibri" w:hAnsi="Calibri"/>
      </w:rPr>
      <w:t xml:space="preserve"> </w:t>
    </w:r>
    <w:r w:rsidRPr="00ED2292">
      <w:rPr>
        <w:rFonts w:ascii="Calibri" w:hAnsi="Calibri"/>
      </w:rPr>
      <w:t>desarrollo</w:t>
    </w:r>
    <w:r w:rsidR="00EA464A">
      <w:rPr>
        <w:rFonts w:ascii="Calibri" w:hAnsi="Calibri"/>
      </w:rPr>
      <w:t xml:space="preserve"> </w:t>
    </w:r>
    <w:r w:rsidRPr="00ED2292">
      <w:rPr>
        <w:rFonts w:ascii="Calibri" w:hAnsi="Calibri"/>
      </w:rPr>
      <w:t>especializado</w:t>
    </w:r>
    <w:r w:rsidR="00EA464A">
      <w:rPr>
        <w:rFonts w:ascii="Calibri" w:hAnsi="Calibri"/>
      </w:rPr>
      <w:t xml:space="preserve"> </w:t>
    </w:r>
    <w:r w:rsidRPr="00ED2292">
      <w:rPr>
        <w:rFonts w:ascii="Calibri" w:hAnsi="Calibri"/>
      </w:rPr>
      <w:t>de</w:t>
    </w:r>
    <w:r w:rsidR="00EA464A">
      <w:rPr>
        <w:rFonts w:ascii="Calibri" w:hAnsi="Calibri"/>
      </w:rPr>
      <w:t xml:space="preserve">         </w:t>
    </w:r>
    <w:r>
      <w:rPr>
        <w:rFonts w:ascii="Calibri" w:hAnsi="Calibri"/>
        <w:noProof/>
        <w:lang w:eastAsia="es-PE"/>
      </w:rPr>
      <w:drawing>
        <wp:inline distT="0" distB="0" distL="0" distR="0" wp14:anchorId="5FF09EDB" wp14:editId="15F868D3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57445" w14:textId="77777777" w:rsidR="005A05FC" w:rsidRDefault="005A05FC" w:rsidP="00F23BC4">
      <w:r>
        <w:separator/>
      </w:r>
    </w:p>
  </w:footnote>
  <w:footnote w:type="continuationSeparator" w:id="0">
    <w:p w14:paraId="480F6FF0" w14:textId="77777777" w:rsidR="005A05FC" w:rsidRDefault="005A05FC" w:rsidP="00F23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156D0" w14:textId="1441AF0F" w:rsidR="00F23BC4" w:rsidRDefault="00F23BC4" w:rsidP="00EA464A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0D3A73B0" wp14:editId="0821D053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C4"/>
    <w:rsid w:val="0002405D"/>
    <w:rsid w:val="000526BE"/>
    <w:rsid w:val="00096CEC"/>
    <w:rsid w:val="00133291"/>
    <w:rsid w:val="002017D0"/>
    <w:rsid w:val="00580259"/>
    <w:rsid w:val="005A05FC"/>
    <w:rsid w:val="00615327"/>
    <w:rsid w:val="007F0EA7"/>
    <w:rsid w:val="008066EB"/>
    <w:rsid w:val="008E4F82"/>
    <w:rsid w:val="008F2267"/>
    <w:rsid w:val="00AA3083"/>
    <w:rsid w:val="00BB3261"/>
    <w:rsid w:val="00C32D53"/>
    <w:rsid w:val="00D361DE"/>
    <w:rsid w:val="00EA464A"/>
    <w:rsid w:val="00F22DD5"/>
    <w:rsid w:val="00F23BC4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83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link w:val="Ttulo1Car"/>
    <w:uiPriority w:val="9"/>
    <w:qFormat/>
    <w:rsid w:val="00F23BC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F23BC4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F23BC4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F23BC4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F23B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F23BC4"/>
  </w:style>
  <w:style w:type="character" w:customStyle="1" w:styleId="no-style-override">
    <w:name w:val="no-style-override"/>
    <w:basedOn w:val="Fuentedeprrafopredeter"/>
    <w:rsid w:val="00F23BC4"/>
  </w:style>
  <w:style w:type="character" w:customStyle="1" w:styleId="no-style-override-2">
    <w:name w:val="no-style-override-2"/>
    <w:basedOn w:val="Fuentedeprrafopredeter"/>
    <w:rsid w:val="00F23BC4"/>
  </w:style>
  <w:style w:type="character" w:customStyle="1" w:styleId="no-style-override-3">
    <w:name w:val="no-style-override-3"/>
    <w:basedOn w:val="Fuentedeprrafopredeter"/>
    <w:rsid w:val="00F23BC4"/>
  </w:style>
  <w:style w:type="character" w:customStyle="1" w:styleId="no-style-override-4">
    <w:name w:val="no-style-override-4"/>
    <w:basedOn w:val="Fuentedeprrafopredeter"/>
    <w:rsid w:val="00F23BC4"/>
  </w:style>
  <w:style w:type="paragraph" w:styleId="Encabezado">
    <w:name w:val="header"/>
    <w:basedOn w:val="Normal"/>
    <w:link w:val="EncabezadoCar"/>
    <w:uiPriority w:val="99"/>
    <w:unhideWhenUsed/>
    <w:rsid w:val="00F23B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3BC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F23B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BC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6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link w:val="Ttulo1Car"/>
    <w:uiPriority w:val="9"/>
    <w:qFormat/>
    <w:rsid w:val="00F23BC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F23BC4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F23BC4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F23BC4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F23B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F23BC4"/>
  </w:style>
  <w:style w:type="character" w:customStyle="1" w:styleId="no-style-override">
    <w:name w:val="no-style-override"/>
    <w:basedOn w:val="Fuentedeprrafopredeter"/>
    <w:rsid w:val="00F23BC4"/>
  </w:style>
  <w:style w:type="character" w:customStyle="1" w:styleId="no-style-override-2">
    <w:name w:val="no-style-override-2"/>
    <w:basedOn w:val="Fuentedeprrafopredeter"/>
    <w:rsid w:val="00F23BC4"/>
  </w:style>
  <w:style w:type="character" w:customStyle="1" w:styleId="no-style-override-3">
    <w:name w:val="no-style-override-3"/>
    <w:basedOn w:val="Fuentedeprrafopredeter"/>
    <w:rsid w:val="00F23BC4"/>
  </w:style>
  <w:style w:type="character" w:customStyle="1" w:styleId="no-style-override-4">
    <w:name w:val="no-style-override-4"/>
    <w:basedOn w:val="Fuentedeprrafopredeter"/>
    <w:rsid w:val="00F23BC4"/>
  </w:style>
  <w:style w:type="paragraph" w:styleId="Encabezado">
    <w:name w:val="header"/>
    <w:basedOn w:val="Normal"/>
    <w:link w:val="EncabezadoCar"/>
    <w:uiPriority w:val="99"/>
    <w:unhideWhenUsed/>
    <w:rsid w:val="00F23B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3BC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F23B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BC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6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3778</Words>
  <Characters>20779</Characters>
  <Application>Microsoft Office Word</Application>
  <DocSecurity>0</DocSecurity>
  <Lines>173</Lines>
  <Paragraphs>49</Paragraphs>
  <ScaleCrop>false</ScaleCrop>
  <Company/>
  <LinksUpToDate>false</LinksUpToDate>
  <CharactersWithSpaces>24508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Angelr</cp:lastModifiedBy>
  <cp:revision>2</cp:revision>
  <dcterms:created xsi:type="dcterms:W3CDTF">2025-09-30T16:29:00Z</dcterms:created>
  <dcterms:modified xsi:type="dcterms:W3CDTF">2025-09-30T22:48:00Z</dcterms:modified>
</cp:coreProperties>
</file>