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E2791" w14:textId="16BA69F6" w:rsidR="00127C5E" w:rsidRPr="00127C5E" w:rsidRDefault="00127C5E" w:rsidP="00127C5E">
      <w:pPr>
        <w:spacing w:before="120"/>
        <w:jc w:val="center"/>
        <w:rPr>
          <w:b/>
          <w:bCs/>
          <w:sz w:val="24"/>
        </w:rPr>
      </w:pPr>
      <w:bookmarkStart w:id="0" w:name="_GoBack"/>
      <w:bookmarkEnd w:id="0"/>
      <w:r w:rsidRPr="00127C5E">
        <w:rPr>
          <w:b/>
          <w:bCs/>
          <w:sz w:val="24"/>
        </w:rPr>
        <w:t>Modifican la Ordenanza N.° 255-2025-MDMM que establece medidas excepcionales para la recuperación de adeudos que se encuentran en estado coactivo</w:t>
      </w:r>
      <w:r>
        <w:rPr>
          <w:b/>
          <w:bCs/>
          <w:sz w:val="24"/>
        </w:rPr>
        <w:t xml:space="preserve"> </w:t>
      </w:r>
      <w:r w:rsidRPr="00127C5E">
        <w:rPr>
          <w:b/>
          <w:bCs/>
          <w:sz w:val="24"/>
        </w:rPr>
        <w:t>en el Municipio de Magdalena del Mar</w:t>
      </w:r>
    </w:p>
    <w:p w14:paraId="5F9F4DFE" w14:textId="589A0CDB" w:rsidR="00127C5E" w:rsidRPr="00127C5E" w:rsidRDefault="00127C5E" w:rsidP="00127C5E">
      <w:pPr>
        <w:spacing w:before="120"/>
        <w:jc w:val="center"/>
        <w:rPr>
          <w:b/>
          <w:bCs/>
          <w:sz w:val="24"/>
        </w:rPr>
      </w:pPr>
      <w:r w:rsidRPr="00127C5E">
        <w:rPr>
          <w:b/>
          <w:bCs/>
          <w:sz w:val="24"/>
        </w:rPr>
        <w:t>Ordenanza N.° 272-2025-MDMM</w:t>
      </w:r>
    </w:p>
    <w:p w14:paraId="792A9BEA" w14:textId="3BD04E5A" w:rsidR="00127C5E" w:rsidRPr="00127C5E" w:rsidRDefault="00127C5E" w:rsidP="00127C5E">
      <w:pPr>
        <w:spacing w:before="120"/>
        <w:rPr>
          <w:sz w:val="24"/>
        </w:rPr>
      </w:pPr>
      <w:r w:rsidRPr="00127C5E">
        <w:rPr>
          <w:sz w:val="24"/>
        </w:rPr>
        <w:t>Magdalena del Mar, 22 de agosto del 2025</w:t>
      </w:r>
    </w:p>
    <w:p w14:paraId="243A402D" w14:textId="571C8A28" w:rsidR="00127C5E" w:rsidRPr="00127C5E" w:rsidRDefault="00127C5E" w:rsidP="00127C5E">
      <w:pPr>
        <w:spacing w:before="120"/>
        <w:rPr>
          <w:sz w:val="24"/>
        </w:rPr>
      </w:pPr>
      <w:r w:rsidRPr="00127C5E">
        <w:rPr>
          <w:sz w:val="24"/>
        </w:rPr>
        <w:t>Por cuanto:</w:t>
      </w:r>
    </w:p>
    <w:p w14:paraId="3E78DB18" w14:textId="77777777" w:rsidR="00D52B8C" w:rsidRDefault="00127C5E" w:rsidP="00127C5E">
      <w:pPr>
        <w:spacing w:before="120"/>
        <w:rPr>
          <w:sz w:val="24"/>
        </w:rPr>
      </w:pPr>
      <w:r w:rsidRPr="00127C5E">
        <w:rPr>
          <w:sz w:val="24"/>
        </w:rPr>
        <w:t>El Concejo Municipal de Magdalena del Mar, en Sesión Ordinaria N.° 17 de la fecha, y;</w:t>
      </w:r>
    </w:p>
    <w:p w14:paraId="69BCC8E6" w14:textId="3D16411C" w:rsidR="00127C5E" w:rsidRPr="00127C5E" w:rsidRDefault="00D52B8C" w:rsidP="00127C5E">
      <w:pPr>
        <w:spacing w:before="120"/>
        <w:rPr>
          <w:sz w:val="24"/>
        </w:rPr>
      </w:pPr>
      <w:r w:rsidRPr="00127C5E">
        <w:rPr>
          <w:sz w:val="24"/>
        </w:rPr>
        <w:t>Vistos</w:t>
      </w:r>
      <w:r w:rsidR="00127C5E" w:rsidRPr="00127C5E">
        <w:rPr>
          <w:sz w:val="24"/>
        </w:rPr>
        <w:t>:</w:t>
      </w:r>
    </w:p>
    <w:p w14:paraId="0A74157F" w14:textId="5431A31C" w:rsidR="00127C5E" w:rsidRPr="00127C5E" w:rsidRDefault="00E96E87" w:rsidP="00127C5E">
      <w:pPr>
        <w:spacing w:before="120"/>
        <w:rPr>
          <w:sz w:val="24"/>
        </w:rPr>
      </w:pPr>
      <w:r>
        <w:rPr>
          <w:sz w:val="24"/>
        </w:rPr>
        <w:t>El Informe Conjunto Nº004-2025-</w:t>
      </w:r>
      <w:r w:rsidR="00127C5E" w:rsidRPr="00127C5E">
        <w:rPr>
          <w:sz w:val="24"/>
        </w:rPr>
        <w:t>SGROCFT-SGRT-SGEC-GAT-MDMM, emitido por la Subgerencia de Recaudación Tributaria, la Subgerencia de Ejecución Coactiva y la Subgerencia de Registro, Orientación al Contribuyente y Fiscalización Tributaria; el Memorándum N.° 624-2025-GAT-MDMM, emitido por la Gerencia de Administración Tributaria; el Memorando N.° 2185-2025-OGPP-MDMM, emitido por la Oficina General de Planeamiento y Presupuesto; el Informe N.° 525-2025-OGAJ-MDMM, emitido por la Oficina General de Asesoría Jurídica; el Memorando N.° 647-2025-GM-MDMM, emitido por la Gerencia Municipal, y;</w:t>
      </w:r>
    </w:p>
    <w:p w14:paraId="314C3DC6" w14:textId="72984918" w:rsidR="00127C5E" w:rsidRPr="00127C5E" w:rsidRDefault="00127C5E" w:rsidP="00127C5E">
      <w:pPr>
        <w:spacing w:before="120"/>
        <w:rPr>
          <w:sz w:val="24"/>
        </w:rPr>
      </w:pPr>
      <w:r w:rsidRPr="00127C5E">
        <w:rPr>
          <w:sz w:val="24"/>
        </w:rPr>
        <w:t>Considerando:</w:t>
      </w:r>
    </w:p>
    <w:p w14:paraId="44507E9C" w14:textId="7163B820" w:rsidR="00127C5E" w:rsidRPr="00127C5E" w:rsidRDefault="00127C5E" w:rsidP="00127C5E">
      <w:pPr>
        <w:spacing w:before="120"/>
        <w:rPr>
          <w:sz w:val="24"/>
        </w:rPr>
      </w:pPr>
      <w:r w:rsidRPr="00127C5E">
        <w:rPr>
          <w:sz w:val="24"/>
        </w:rPr>
        <w:t xml:space="preserve">Que, el artículo 194 de la Constitución Política del Perú, modificado por Ley N.° 30305, concordado con el </w:t>
      </w:r>
      <w:r w:rsidR="00E96E87" w:rsidRPr="00127C5E">
        <w:rPr>
          <w:sz w:val="24"/>
        </w:rPr>
        <w:t xml:space="preserve">Artículo </w:t>
      </w:r>
      <w:r w:rsidRPr="00127C5E">
        <w:rPr>
          <w:sz w:val="24"/>
        </w:rPr>
        <w:t xml:space="preserve">II del </w:t>
      </w:r>
      <w:r w:rsidR="00E96E87" w:rsidRPr="00127C5E">
        <w:rPr>
          <w:sz w:val="24"/>
        </w:rPr>
        <w:t xml:space="preserve">Título Preliminar </w:t>
      </w:r>
      <w:r w:rsidRPr="00127C5E">
        <w:rPr>
          <w:sz w:val="24"/>
        </w:rPr>
        <w:t>de la Ley N.° 27972, Ley Orgánica de Municipalidades, establece que los gobiernos locales gozan de autonomía política, económica y administrativa en los asuntos de su competencia, potestad que radica en la facultad de ejercer actos de gobierno, administrativos y de administración, con sujeción al ordenamiento jurídico vigente;</w:t>
      </w:r>
    </w:p>
    <w:p w14:paraId="5F160887" w14:textId="0230D60B" w:rsidR="00127C5E" w:rsidRPr="00127C5E" w:rsidRDefault="00127C5E" w:rsidP="00127C5E">
      <w:pPr>
        <w:spacing w:before="120"/>
        <w:rPr>
          <w:sz w:val="24"/>
        </w:rPr>
      </w:pPr>
      <w:r w:rsidRPr="00127C5E">
        <w:rPr>
          <w:sz w:val="24"/>
        </w:rPr>
        <w:t xml:space="preserve">Que, conforme a lo establecido en el numeral 4 del artículo 195 y 74 de la Carta Magna, en concordancia con la </w:t>
      </w:r>
      <w:r w:rsidR="00E96E87" w:rsidRPr="00127C5E">
        <w:rPr>
          <w:sz w:val="24"/>
        </w:rPr>
        <w:t xml:space="preserve">Norma </w:t>
      </w:r>
      <w:r w:rsidRPr="00127C5E">
        <w:rPr>
          <w:sz w:val="24"/>
        </w:rPr>
        <w:t>IV del Título Preliminar del Texto Único Ordenado del Código Tributario, aprobado mediante Decreto Supremo N.° 133-2013-EF y sus modificatorias, los gobiernos locales tienen potestad tributaria para crear, modificar y suprimir contribuciones, tasas, arbitrios, licencias y derechos municipales, así como para exonerar de ellos, dentro de su jurisdicción y bajo los límites que señala la ley;</w:t>
      </w:r>
    </w:p>
    <w:p w14:paraId="6B52056C" w14:textId="7EFFAF65" w:rsidR="00127C5E" w:rsidRPr="00127C5E" w:rsidRDefault="00127C5E" w:rsidP="00127C5E">
      <w:pPr>
        <w:spacing w:before="120"/>
        <w:rPr>
          <w:sz w:val="24"/>
        </w:rPr>
      </w:pPr>
      <w:r w:rsidRPr="00127C5E">
        <w:rPr>
          <w:sz w:val="24"/>
        </w:rPr>
        <w:t>Que, el artículo 41 del mencionado Decreto Supremo N.° 133-2013-EF preceptúa que la deuda tributaria solo podrá ser condonada por norma expresa con rango de ley. Excepcionalmente, los gobiernos locales, podrán condonar con carácter general, el interés moratorio y las sanciones, respecto de los tributos que administren;</w:t>
      </w:r>
    </w:p>
    <w:p w14:paraId="6BE29945" w14:textId="493D0BE0" w:rsidR="00127C5E" w:rsidRPr="00127C5E" w:rsidRDefault="00127C5E" w:rsidP="00127C5E">
      <w:pPr>
        <w:spacing w:before="120"/>
        <w:rPr>
          <w:sz w:val="24"/>
        </w:rPr>
      </w:pPr>
      <w:r w:rsidRPr="00127C5E">
        <w:rPr>
          <w:sz w:val="24"/>
        </w:rPr>
        <w:t>Que, el literal a) del artículo 68 del Texto Único Ordenado de la Ley de Tributación Municipal aprobado por Decreto Supremo N.° 156-2004-EF y la norma II del Texto Único Ordenado del Código Tributario, señalan que los arbitrios son las tasas que se pagan por la prestación o mantenimiento de un servicio público individualizado en el contribuyente;</w:t>
      </w:r>
    </w:p>
    <w:p w14:paraId="6F1ED5A3" w14:textId="45FD64BF" w:rsidR="00127C5E" w:rsidRPr="00127C5E" w:rsidRDefault="00127C5E" w:rsidP="00127C5E">
      <w:pPr>
        <w:spacing w:before="120"/>
        <w:rPr>
          <w:sz w:val="24"/>
        </w:rPr>
      </w:pPr>
      <w:r w:rsidRPr="00127C5E">
        <w:rPr>
          <w:sz w:val="24"/>
        </w:rPr>
        <w:lastRenderedPageBreak/>
        <w:t>Que, mediante Ordenanza N.° 255-2025-MDMM, modificada mediante la Ordenanza N.° 261-2025-MDMM, se establecen medidas excepcionales para la recuperación de adeudos de años anteriores que se encuentren en estado coactivo en la Municipalidad de Magdalena del Mar;</w:t>
      </w:r>
    </w:p>
    <w:p w14:paraId="0CF6CBDF" w14:textId="78DC6D29" w:rsidR="00127C5E" w:rsidRPr="00127C5E" w:rsidRDefault="00127C5E" w:rsidP="00127C5E">
      <w:pPr>
        <w:spacing w:before="120"/>
        <w:rPr>
          <w:sz w:val="24"/>
        </w:rPr>
      </w:pPr>
      <w:r w:rsidRPr="00127C5E">
        <w:rPr>
          <w:sz w:val="24"/>
        </w:rPr>
        <w:t>Que, mediante el informe conjunto de vistos, las Subgerencias de Registro, Orientación al Contribuyente y Fiscalización Tributaria, Recaudación Tributaria y Ejecución Coactiva proponen modificar la Ordenanza N.° 255-2025-MDMM, a fin de incorporar la condonación de los costos procesales coactivos y gastos administrativos del ejercicio fiscal 2025, con la finalidad de fomentar la regularización de deudas en etapa coactiva; teniendo dicha propuesta el visto bueno de la Gerencia de Administración Tributaria y la opinión favorable de la Oficina General de Planeamiento y Presupuesto, a través de los memorandos de vistos;</w:t>
      </w:r>
    </w:p>
    <w:p w14:paraId="72F7F503" w14:textId="77777777" w:rsidR="00127C5E" w:rsidRPr="00127C5E" w:rsidRDefault="00127C5E" w:rsidP="00127C5E">
      <w:pPr>
        <w:spacing w:before="120"/>
        <w:rPr>
          <w:sz w:val="24"/>
        </w:rPr>
      </w:pPr>
      <w:r w:rsidRPr="00127C5E">
        <w:rPr>
          <w:sz w:val="24"/>
        </w:rPr>
        <w:t>Que, la Oficina General de Asesoría Jurídica, por medio del informe de vistos, emite opinión legal favorable respecto de la emisión de la Ordenanza que modifique el artículo quinto, respecto de los descuentos ofrecidos;</w:t>
      </w:r>
    </w:p>
    <w:p w14:paraId="2D7F6D7A" w14:textId="5DAD67DF" w:rsidR="00127C5E" w:rsidRPr="00127C5E" w:rsidRDefault="00127C5E" w:rsidP="00127C5E">
      <w:pPr>
        <w:spacing w:before="120"/>
        <w:rPr>
          <w:sz w:val="24"/>
        </w:rPr>
      </w:pPr>
      <w:r w:rsidRPr="00127C5E">
        <w:rPr>
          <w:sz w:val="24"/>
        </w:rPr>
        <w:t xml:space="preserve">Estando a los fundamentos expuestos y en uso de las facultades conferidas por el artículo 9°, numeral 8) y el artículo 40 de la Ley N.° 27972, Ley Orgánica de Municipalidades, el Concejo Municipal de Magdalena del Mar aprobó por </w:t>
      </w:r>
      <w:r w:rsidRPr="00127C5E">
        <w:rPr>
          <w:b/>
          <w:bCs/>
          <w:sz w:val="24"/>
        </w:rPr>
        <w:t>unanimidad</w:t>
      </w:r>
      <w:r w:rsidRPr="00127C5E">
        <w:rPr>
          <w:sz w:val="24"/>
        </w:rPr>
        <w:t>, con dispensa del trámite de comisiones, así como de lectura y aprobación del acta, la siguiente:</w:t>
      </w:r>
    </w:p>
    <w:p w14:paraId="47B02AB9" w14:textId="4E888D88" w:rsidR="00127C5E" w:rsidRPr="00127C5E" w:rsidRDefault="00127C5E" w:rsidP="00127C5E">
      <w:pPr>
        <w:spacing w:before="120"/>
        <w:rPr>
          <w:sz w:val="24"/>
        </w:rPr>
      </w:pPr>
      <w:r w:rsidRPr="00127C5E">
        <w:rPr>
          <w:sz w:val="24"/>
        </w:rPr>
        <w:t>Ordenanza</w:t>
      </w:r>
    </w:p>
    <w:p w14:paraId="2FB41F38" w14:textId="5E696223" w:rsidR="00127C5E" w:rsidRPr="00127C5E" w:rsidRDefault="00127C5E" w:rsidP="00127C5E">
      <w:pPr>
        <w:spacing w:before="120"/>
        <w:rPr>
          <w:sz w:val="24"/>
        </w:rPr>
      </w:pPr>
      <w:r w:rsidRPr="00127C5E">
        <w:rPr>
          <w:sz w:val="24"/>
        </w:rPr>
        <w:t>Artículo Primero.- Modificar el artículo quinto de la Ordenanza N.° 255-2025-MDMM, que establece medidas excepcionales para la recuperación de adeudos que se encuentran en estado coactivo en la Municipalidad Distrital de Magdalena del Mar, según siguiente detalle:</w:t>
      </w:r>
    </w:p>
    <w:p w14:paraId="6E137414" w14:textId="4C4575C4" w:rsidR="00127C5E" w:rsidRPr="00127C5E" w:rsidRDefault="00127C5E" w:rsidP="00127C5E">
      <w:pPr>
        <w:spacing w:before="120" w:after="120"/>
        <w:rPr>
          <w:b/>
          <w:bCs/>
          <w:sz w:val="24"/>
        </w:rPr>
      </w:pPr>
      <w:r w:rsidRPr="00127C5E">
        <w:rPr>
          <w:sz w:val="24"/>
        </w:rPr>
        <w:t xml:space="preserve">“Artículo quinto. - </w:t>
      </w:r>
      <w:r w:rsidRPr="00127C5E">
        <w:rPr>
          <w:b/>
          <w:bCs/>
          <w:sz w:val="24"/>
        </w:rPr>
        <w:t>Sobre los descuentos brindados</w:t>
      </w:r>
    </w:p>
    <w:tbl>
      <w:tblPr>
        <w:tblStyle w:val="Tablaconcuadrcula"/>
        <w:tblW w:w="9613" w:type="dxa"/>
        <w:jc w:val="center"/>
        <w:tblLook w:val="04A0" w:firstRow="1" w:lastRow="0" w:firstColumn="1" w:lastColumn="0" w:noHBand="0" w:noVBand="1"/>
      </w:tblPr>
      <w:tblGrid>
        <w:gridCol w:w="1757"/>
        <w:gridCol w:w="1037"/>
        <w:gridCol w:w="1170"/>
        <w:gridCol w:w="1017"/>
        <w:gridCol w:w="916"/>
        <w:gridCol w:w="917"/>
        <w:gridCol w:w="967"/>
        <w:gridCol w:w="1007"/>
        <w:gridCol w:w="817"/>
        <w:gridCol w:w="8"/>
      </w:tblGrid>
      <w:tr w:rsidR="00127C5E" w:rsidRPr="00127C5E" w14:paraId="6C116957" w14:textId="77777777" w:rsidTr="00127C5E">
        <w:trPr>
          <w:gridAfter w:val="1"/>
          <w:wAfter w:w="8" w:type="dxa"/>
          <w:jc w:val="center"/>
        </w:trPr>
        <w:tc>
          <w:tcPr>
            <w:tcW w:w="1757" w:type="dxa"/>
            <w:vMerge w:val="restart"/>
            <w:shd w:val="clear" w:color="auto" w:fill="BFBFBF" w:themeFill="background1" w:themeFillShade="BF"/>
            <w:vAlign w:val="center"/>
          </w:tcPr>
          <w:p w14:paraId="78985AA9" w14:textId="77777777" w:rsidR="00127C5E" w:rsidRPr="00127C5E" w:rsidRDefault="00127C5E" w:rsidP="00127C5E">
            <w:pPr>
              <w:spacing w:before="120"/>
              <w:jc w:val="center"/>
              <w:rPr>
                <w:b/>
                <w:bCs/>
                <w:sz w:val="18"/>
              </w:rPr>
            </w:pPr>
            <w:r w:rsidRPr="00127C5E">
              <w:rPr>
                <w:b/>
                <w:bCs/>
                <w:sz w:val="18"/>
              </w:rPr>
              <w:t>Concepto</w:t>
            </w:r>
          </w:p>
        </w:tc>
        <w:tc>
          <w:tcPr>
            <w:tcW w:w="1037" w:type="dxa"/>
            <w:vMerge w:val="restart"/>
            <w:shd w:val="clear" w:color="auto" w:fill="BFBFBF" w:themeFill="background1" w:themeFillShade="BF"/>
            <w:vAlign w:val="center"/>
          </w:tcPr>
          <w:p w14:paraId="07DAFD6F" w14:textId="77777777" w:rsidR="00127C5E" w:rsidRPr="00127C5E" w:rsidRDefault="00127C5E" w:rsidP="00127C5E">
            <w:pPr>
              <w:spacing w:before="120"/>
              <w:jc w:val="center"/>
              <w:rPr>
                <w:b/>
                <w:bCs/>
                <w:sz w:val="18"/>
              </w:rPr>
            </w:pPr>
            <w:r w:rsidRPr="00127C5E">
              <w:rPr>
                <w:b/>
                <w:bCs/>
                <w:sz w:val="18"/>
              </w:rPr>
              <w:t>Requisito</w:t>
            </w:r>
          </w:p>
        </w:tc>
        <w:tc>
          <w:tcPr>
            <w:tcW w:w="1170" w:type="dxa"/>
            <w:vMerge w:val="restart"/>
            <w:shd w:val="clear" w:color="auto" w:fill="BFBFBF" w:themeFill="background1" w:themeFillShade="BF"/>
            <w:vAlign w:val="center"/>
          </w:tcPr>
          <w:p w14:paraId="77393E7F" w14:textId="77777777" w:rsidR="00127C5E" w:rsidRPr="00127C5E" w:rsidRDefault="00127C5E" w:rsidP="00127C5E">
            <w:pPr>
              <w:spacing w:before="120"/>
              <w:jc w:val="center"/>
              <w:rPr>
                <w:b/>
                <w:bCs/>
                <w:sz w:val="18"/>
              </w:rPr>
            </w:pPr>
            <w:r w:rsidRPr="00127C5E">
              <w:rPr>
                <w:b/>
                <w:bCs/>
                <w:sz w:val="18"/>
              </w:rPr>
              <w:t>Condición</w:t>
            </w:r>
          </w:p>
        </w:tc>
        <w:tc>
          <w:tcPr>
            <w:tcW w:w="1017" w:type="dxa"/>
            <w:vMerge w:val="restart"/>
            <w:shd w:val="clear" w:color="auto" w:fill="BFBFBF" w:themeFill="background1" w:themeFillShade="BF"/>
            <w:vAlign w:val="center"/>
          </w:tcPr>
          <w:p w14:paraId="6A1F90A9" w14:textId="77777777" w:rsidR="00127C5E" w:rsidRPr="00127C5E" w:rsidRDefault="00127C5E" w:rsidP="00127C5E">
            <w:pPr>
              <w:spacing w:before="120"/>
              <w:jc w:val="center"/>
              <w:rPr>
                <w:b/>
                <w:bCs/>
                <w:sz w:val="18"/>
              </w:rPr>
            </w:pPr>
            <w:r w:rsidRPr="00127C5E">
              <w:rPr>
                <w:b/>
                <w:bCs/>
                <w:sz w:val="18"/>
              </w:rPr>
              <w:t>Periodos</w:t>
            </w:r>
          </w:p>
        </w:tc>
        <w:tc>
          <w:tcPr>
            <w:tcW w:w="4624" w:type="dxa"/>
            <w:gridSpan w:val="5"/>
            <w:shd w:val="clear" w:color="auto" w:fill="BFBFBF" w:themeFill="background1" w:themeFillShade="BF"/>
            <w:vAlign w:val="center"/>
          </w:tcPr>
          <w:p w14:paraId="70E06862" w14:textId="2ACD233F" w:rsidR="00127C5E" w:rsidRPr="00127C5E" w:rsidRDefault="00127C5E" w:rsidP="00127C5E">
            <w:pPr>
              <w:spacing w:before="120"/>
              <w:jc w:val="center"/>
              <w:rPr>
                <w:b/>
                <w:bCs/>
                <w:sz w:val="18"/>
              </w:rPr>
            </w:pPr>
            <w:r w:rsidRPr="00127C5E">
              <w:rPr>
                <w:b/>
                <w:bCs/>
                <w:sz w:val="18"/>
              </w:rPr>
              <w:t>Descuentos</w:t>
            </w:r>
          </w:p>
        </w:tc>
      </w:tr>
      <w:tr w:rsidR="00127C5E" w:rsidRPr="00127C5E" w14:paraId="464409D1" w14:textId="77777777" w:rsidTr="00127C5E">
        <w:trPr>
          <w:gridAfter w:val="1"/>
          <w:wAfter w:w="8" w:type="dxa"/>
          <w:jc w:val="center"/>
        </w:trPr>
        <w:tc>
          <w:tcPr>
            <w:tcW w:w="1757" w:type="dxa"/>
            <w:vMerge/>
            <w:shd w:val="clear" w:color="auto" w:fill="BFBFBF" w:themeFill="background1" w:themeFillShade="BF"/>
            <w:vAlign w:val="center"/>
          </w:tcPr>
          <w:p w14:paraId="7303249D" w14:textId="77777777" w:rsidR="00127C5E" w:rsidRPr="00127C5E" w:rsidRDefault="00127C5E" w:rsidP="00127C5E">
            <w:pPr>
              <w:spacing w:before="120"/>
              <w:jc w:val="center"/>
              <w:rPr>
                <w:b/>
                <w:bCs/>
                <w:sz w:val="18"/>
              </w:rPr>
            </w:pPr>
          </w:p>
        </w:tc>
        <w:tc>
          <w:tcPr>
            <w:tcW w:w="1037" w:type="dxa"/>
            <w:vMerge/>
            <w:shd w:val="clear" w:color="auto" w:fill="BFBFBF" w:themeFill="background1" w:themeFillShade="BF"/>
            <w:vAlign w:val="center"/>
          </w:tcPr>
          <w:p w14:paraId="5AA09E88" w14:textId="77777777" w:rsidR="00127C5E" w:rsidRPr="00127C5E" w:rsidRDefault="00127C5E" w:rsidP="00127C5E">
            <w:pPr>
              <w:spacing w:before="120"/>
              <w:jc w:val="center"/>
              <w:rPr>
                <w:b/>
                <w:bCs/>
                <w:sz w:val="18"/>
              </w:rPr>
            </w:pPr>
          </w:p>
        </w:tc>
        <w:tc>
          <w:tcPr>
            <w:tcW w:w="1170" w:type="dxa"/>
            <w:vMerge/>
            <w:shd w:val="clear" w:color="auto" w:fill="BFBFBF" w:themeFill="background1" w:themeFillShade="BF"/>
            <w:vAlign w:val="center"/>
          </w:tcPr>
          <w:p w14:paraId="5EEEBF37" w14:textId="77777777" w:rsidR="00127C5E" w:rsidRPr="00127C5E" w:rsidRDefault="00127C5E" w:rsidP="00127C5E">
            <w:pPr>
              <w:spacing w:before="120"/>
              <w:jc w:val="center"/>
              <w:rPr>
                <w:b/>
                <w:bCs/>
                <w:sz w:val="18"/>
              </w:rPr>
            </w:pPr>
          </w:p>
        </w:tc>
        <w:tc>
          <w:tcPr>
            <w:tcW w:w="1017" w:type="dxa"/>
            <w:vMerge/>
            <w:shd w:val="clear" w:color="auto" w:fill="BFBFBF" w:themeFill="background1" w:themeFillShade="BF"/>
            <w:vAlign w:val="center"/>
          </w:tcPr>
          <w:p w14:paraId="082A8BD5" w14:textId="77777777" w:rsidR="00127C5E" w:rsidRPr="00127C5E" w:rsidRDefault="00127C5E" w:rsidP="00127C5E">
            <w:pPr>
              <w:spacing w:before="120"/>
              <w:jc w:val="center"/>
              <w:rPr>
                <w:b/>
                <w:bCs/>
                <w:sz w:val="18"/>
              </w:rPr>
            </w:pPr>
          </w:p>
        </w:tc>
        <w:tc>
          <w:tcPr>
            <w:tcW w:w="916" w:type="dxa"/>
            <w:shd w:val="clear" w:color="auto" w:fill="BFBFBF" w:themeFill="background1" w:themeFillShade="BF"/>
            <w:vAlign w:val="center"/>
          </w:tcPr>
          <w:p w14:paraId="63431E9A" w14:textId="77777777" w:rsidR="00127C5E" w:rsidRPr="00127C5E" w:rsidRDefault="00127C5E" w:rsidP="00127C5E">
            <w:pPr>
              <w:spacing w:before="120"/>
              <w:jc w:val="center"/>
              <w:rPr>
                <w:b/>
                <w:bCs/>
                <w:sz w:val="18"/>
              </w:rPr>
            </w:pPr>
            <w:r w:rsidRPr="00127C5E">
              <w:rPr>
                <w:b/>
                <w:bCs/>
                <w:sz w:val="18"/>
              </w:rPr>
              <w:t>Insoluto</w:t>
            </w:r>
          </w:p>
        </w:tc>
        <w:tc>
          <w:tcPr>
            <w:tcW w:w="917" w:type="dxa"/>
            <w:shd w:val="clear" w:color="auto" w:fill="BFBFBF" w:themeFill="background1" w:themeFillShade="BF"/>
            <w:vAlign w:val="center"/>
          </w:tcPr>
          <w:p w14:paraId="20F9EAF0" w14:textId="77777777" w:rsidR="00127C5E" w:rsidRPr="00127C5E" w:rsidRDefault="00127C5E" w:rsidP="00127C5E">
            <w:pPr>
              <w:spacing w:before="120"/>
              <w:jc w:val="center"/>
              <w:rPr>
                <w:b/>
                <w:bCs/>
                <w:sz w:val="18"/>
              </w:rPr>
            </w:pPr>
            <w:r w:rsidRPr="00127C5E">
              <w:rPr>
                <w:b/>
                <w:bCs/>
                <w:sz w:val="18"/>
              </w:rPr>
              <w:t>Emisión</w:t>
            </w:r>
          </w:p>
        </w:tc>
        <w:tc>
          <w:tcPr>
            <w:tcW w:w="967" w:type="dxa"/>
            <w:shd w:val="clear" w:color="auto" w:fill="BFBFBF" w:themeFill="background1" w:themeFillShade="BF"/>
            <w:vAlign w:val="center"/>
          </w:tcPr>
          <w:p w14:paraId="2EB6CFBB" w14:textId="77777777" w:rsidR="00127C5E" w:rsidRPr="00127C5E" w:rsidRDefault="00127C5E" w:rsidP="00127C5E">
            <w:pPr>
              <w:spacing w:before="120"/>
              <w:jc w:val="center"/>
              <w:rPr>
                <w:b/>
                <w:bCs/>
                <w:sz w:val="18"/>
              </w:rPr>
            </w:pPr>
            <w:r w:rsidRPr="00127C5E">
              <w:rPr>
                <w:b/>
                <w:bCs/>
                <w:sz w:val="18"/>
              </w:rPr>
              <w:t>Reajuste</w:t>
            </w:r>
          </w:p>
        </w:tc>
        <w:tc>
          <w:tcPr>
            <w:tcW w:w="1007" w:type="dxa"/>
            <w:shd w:val="clear" w:color="auto" w:fill="BFBFBF" w:themeFill="background1" w:themeFillShade="BF"/>
            <w:vAlign w:val="center"/>
          </w:tcPr>
          <w:p w14:paraId="364C0AE8" w14:textId="77777777" w:rsidR="00127C5E" w:rsidRPr="00127C5E" w:rsidRDefault="00127C5E" w:rsidP="00127C5E">
            <w:pPr>
              <w:spacing w:before="120"/>
              <w:jc w:val="center"/>
              <w:rPr>
                <w:b/>
                <w:bCs/>
                <w:sz w:val="18"/>
              </w:rPr>
            </w:pPr>
            <w:r w:rsidRPr="00127C5E">
              <w:rPr>
                <w:b/>
                <w:bCs/>
                <w:sz w:val="18"/>
              </w:rPr>
              <w:t>Intereses</w:t>
            </w:r>
          </w:p>
        </w:tc>
        <w:tc>
          <w:tcPr>
            <w:tcW w:w="817" w:type="dxa"/>
            <w:shd w:val="clear" w:color="auto" w:fill="BFBFBF" w:themeFill="background1" w:themeFillShade="BF"/>
            <w:vAlign w:val="center"/>
          </w:tcPr>
          <w:p w14:paraId="1E4B352F" w14:textId="77777777" w:rsidR="00127C5E" w:rsidRPr="00127C5E" w:rsidRDefault="00127C5E" w:rsidP="00127C5E">
            <w:pPr>
              <w:spacing w:before="120"/>
              <w:jc w:val="center"/>
              <w:rPr>
                <w:b/>
                <w:bCs/>
                <w:sz w:val="18"/>
              </w:rPr>
            </w:pPr>
            <w:r w:rsidRPr="00127C5E">
              <w:rPr>
                <w:b/>
                <w:bCs/>
                <w:sz w:val="18"/>
              </w:rPr>
              <w:t>Costas y gastos</w:t>
            </w:r>
          </w:p>
        </w:tc>
      </w:tr>
      <w:tr w:rsidR="00127C5E" w:rsidRPr="00127C5E" w14:paraId="3B4C9496" w14:textId="77777777" w:rsidTr="00127C5E">
        <w:trPr>
          <w:gridAfter w:val="1"/>
          <w:wAfter w:w="8" w:type="dxa"/>
          <w:jc w:val="center"/>
        </w:trPr>
        <w:tc>
          <w:tcPr>
            <w:tcW w:w="1757" w:type="dxa"/>
            <w:vMerge w:val="restart"/>
            <w:vAlign w:val="center"/>
          </w:tcPr>
          <w:p w14:paraId="3B39642D" w14:textId="77777777" w:rsidR="00127C5E" w:rsidRPr="00127C5E" w:rsidRDefault="00127C5E" w:rsidP="00127C5E">
            <w:pPr>
              <w:spacing w:before="120"/>
              <w:jc w:val="center"/>
              <w:rPr>
                <w:b/>
                <w:bCs/>
                <w:sz w:val="18"/>
              </w:rPr>
            </w:pPr>
            <w:r w:rsidRPr="00127C5E">
              <w:rPr>
                <w:b/>
                <w:bCs/>
                <w:sz w:val="18"/>
              </w:rPr>
              <w:t>Impuesto predial</w:t>
            </w:r>
          </w:p>
        </w:tc>
        <w:tc>
          <w:tcPr>
            <w:tcW w:w="1037" w:type="dxa"/>
            <w:vMerge w:val="restart"/>
            <w:vAlign w:val="center"/>
          </w:tcPr>
          <w:p w14:paraId="23C4F69B" w14:textId="77777777" w:rsidR="00127C5E" w:rsidRPr="00127C5E" w:rsidRDefault="00127C5E" w:rsidP="00127C5E">
            <w:pPr>
              <w:spacing w:before="120"/>
              <w:jc w:val="center"/>
              <w:rPr>
                <w:sz w:val="18"/>
              </w:rPr>
            </w:pPr>
            <w:r w:rsidRPr="00127C5E">
              <w:rPr>
                <w:sz w:val="18"/>
              </w:rPr>
              <w:t>Que se encuentre en etapa coactiva</w:t>
            </w:r>
          </w:p>
        </w:tc>
        <w:tc>
          <w:tcPr>
            <w:tcW w:w="1170" w:type="dxa"/>
            <w:vMerge w:val="restart"/>
            <w:vAlign w:val="center"/>
          </w:tcPr>
          <w:p w14:paraId="56354D22" w14:textId="77777777" w:rsidR="00127C5E" w:rsidRPr="00127C5E" w:rsidRDefault="00127C5E" w:rsidP="00127C5E">
            <w:pPr>
              <w:spacing w:before="120"/>
              <w:jc w:val="center"/>
              <w:rPr>
                <w:sz w:val="18"/>
              </w:rPr>
            </w:pPr>
            <w:r w:rsidRPr="00127C5E">
              <w:rPr>
                <w:sz w:val="18"/>
              </w:rPr>
              <w:t>Cancelar todo lo que se encuentre en coactivo del periodo adeudado</w:t>
            </w:r>
          </w:p>
        </w:tc>
        <w:tc>
          <w:tcPr>
            <w:tcW w:w="1017" w:type="dxa"/>
            <w:vAlign w:val="center"/>
          </w:tcPr>
          <w:p w14:paraId="55DCED5D" w14:textId="77777777" w:rsidR="00127C5E" w:rsidRPr="00127C5E" w:rsidRDefault="00127C5E" w:rsidP="00127C5E">
            <w:pPr>
              <w:spacing w:before="120"/>
              <w:jc w:val="center"/>
              <w:rPr>
                <w:b/>
                <w:bCs/>
                <w:sz w:val="18"/>
              </w:rPr>
            </w:pPr>
            <w:r w:rsidRPr="00127C5E">
              <w:rPr>
                <w:b/>
                <w:bCs/>
                <w:sz w:val="18"/>
              </w:rPr>
              <w:t>2025</w:t>
            </w:r>
          </w:p>
        </w:tc>
        <w:tc>
          <w:tcPr>
            <w:tcW w:w="916" w:type="dxa"/>
            <w:vAlign w:val="center"/>
          </w:tcPr>
          <w:p w14:paraId="178AE4BA" w14:textId="77777777" w:rsidR="00127C5E" w:rsidRPr="00127C5E" w:rsidRDefault="00127C5E" w:rsidP="00127C5E">
            <w:pPr>
              <w:spacing w:before="120"/>
              <w:jc w:val="center"/>
              <w:rPr>
                <w:b/>
                <w:bCs/>
                <w:sz w:val="18"/>
              </w:rPr>
            </w:pPr>
            <w:r w:rsidRPr="00127C5E">
              <w:rPr>
                <w:b/>
                <w:bCs/>
                <w:sz w:val="18"/>
              </w:rPr>
              <w:t>0 %</w:t>
            </w:r>
          </w:p>
        </w:tc>
        <w:tc>
          <w:tcPr>
            <w:tcW w:w="917" w:type="dxa"/>
            <w:vAlign w:val="center"/>
          </w:tcPr>
          <w:p w14:paraId="4675622D" w14:textId="77777777" w:rsidR="00127C5E" w:rsidRPr="00127C5E" w:rsidRDefault="00127C5E" w:rsidP="00127C5E">
            <w:pPr>
              <w:spacing w:before="120"/>
              <w:jc w:val="center"/>
              <w:rPr>
                <w:b/>
                <w:bCs/>
                <w:sz w:val="18"/>
              </w:rPr>
            </w:pPr>
            <w:r w:rsidRPr="00127C5E">
              <w:rPr>
                <w:b/>
                <w:bCs/>
                <w:sz w:val="18"/>
              </w:rPr>
              <w:t>0 %</w:t>
            </w:r>
          </w:p>
        </w:tc>
        <w:tc>
          <w:tcPr>
            <w:tcW w:w="967" w:type="dxa"/>
            <w:vAlign w:val="center"/>
          </w:tcPr>
          <w:p w14:paraId="20443171" w14:textId="77777777" w:rsidR="00127C5E" w:rsidRPr="00127C5E" w:rsidRDefault="00127C5E" w:rsidP="00127C5E">
            <w:pPr>
              <w:spacing w:before="120"/>
              <w:jc w:val="center"/>
              <w:rPr>
                <w:b/>
                <w:bCs/>
                <w:sz w:val="18"/>
              </w:rPr>
            </w:pPr>
            <w:r w:rsidRPr="00127C5E">
              <w:rPr>
                <w:b/>
                <w:bCs/>
                <w:sz w:val="18"/>
              </w:rPr>
              <w:t>0 %</w:t>
            </w:r>
          </w:p>
        </w:tc>
        <w:tc>
          <w:tcPr>
            <w:tcW w:w="1007" w:type="dxa"/>
            <w:vAlign w:val="center"/>
          </w:tcPr>
          <w:p w14:paraId="73296E66" w14:textId="77777777" w:rsidR="00127C5E" w:rsidRPr="00127C5E" w:rsidRDefault="00127C5E" w:rsidP="00127C5E">
            <w:pPr>
              <w:spacing w:before="120"/>
              <w:jc w:val="center"/>
              <w:rPr>
                <w:b/>
                <w:bCs/>
                <w:sz w:val="18"/>
              </w:rPr>
            </w:pPr>
            <w:r w:rsidRPr="00127C5E">
              <w:rPr>
                <w:b/>
                <w:bCs/>
                <w:sz w:val="18"/>
              </w:rPr>
              <w:t>0 %</w:t>
            </w:r>
          </w:p>
        </w:tc>
        <w:tc>
          <w:tcPr>
            <w:tcW w:w="817" w:type="dxa"/>
            <w:vAlign w:val="center"/>
          </w:tcPr>
          <w:p w14:paraId="177D41A8" w14:textId="77777777" w:rsidR="00127C5E" w:rsidRPr="00127C5E" w:rsidRDefault="00127C5E" w:rsidP="00127C5E">
            <w:pPr>
              <w:spacing w:before="120"/>
              <w:jc w:val="center"/>
              <w:rPr>
                <w:b/>
                <w:bCs/>
                <w:sz w:val="18"/>
              </w:rPr>
            </w:pPr>
            <w:r w:rsidRPr="00127C5E">
              <w:rPr>
                <w:b/>
                <w:bCs/>
                <w:sz w:val="18"/>
              </w:rPr>
              <w:t>100 %</w:t>
            </w:r>
          </w:p>
        </w:tc>
      </w:tr>
      <w:tr w:rsidR="00127C5E" w:rsidRPr="00127C5E" w14:paraId="50EAC391" w14:textId="77777777" w:rsidTr="00127C5E">
        <w:trPr>
          <w:gridAfter w:val="1"/>
          <w:wAfter w:w="8" w:type="dxa"/>
          <w:jc w:val="center"/>
        </w:trPr>
        <w:tc>
          <w:tcPr>
            <w:tcW w:w="1757" w:type="dxa"/>
            <w:vMerge/>
            <w:vAlign w:val="center"/>
          </w:tcPr>
          <w:p w14:paraId="03ED0E12" w14:textId="77777777" w:rsidR="00127C5E" w:rsidRPr="00127C5E" w:rsidRDefault="00127C5E" w:rsidP="00127C5E">
            <w:pPr>
              <w:spacing w:before="120"/>
              <w:jc w:val="center"/>
              <w:rPr>
                <w:sz w:val="18"/>
              </w:rPr>
            </w:pPr>
          </w:p>
        </w:tc>
        <w:tc>
          <w:tcPr>
            <w:tcW w:w="1037" w:type="dxa"/>
            <w:vMerge/>
            <w:vAlign w:val="center"/>
          </w:tcPr>
          <w:p w14:paraId="38417845" w14:textId="77777777" w:rsidR="00127C5E" w:rsidRPr="00127C5E" w:rsidRDefault="00127C5E" w:rsidP="00127C5E">
            <w:pPr>
              <w:spacing w:before="120"/>
              <w:jc w:val="center"/>
              <w:rPr>
                <w:sz w:val="18"/>
              </w:rPr>
            </w:pPr>
          </w:p>
        </w:tc>
        <w:tc>
          <w:tcPr>
            <w:tcW w:w="1170" w:type="dxa"/>
            <w:vMerge/>
            <w:vAlign w:val="center"/>
          </w:tcPr>
          <w:p w14:paraId="42AFBD97" w14:textId="77777777" w:rsidR="00127C5E" w:rsidRPr="00127C5E" w:rsidRDefault="00127C5E" w:rsidP="00127C5E">
            <w:pPr>
              <w:spacing w:before="120"/>
              <w:jc w:val="center"/>
              <w:rPr>
                <w:sz w:val="18"/>
              </w:rPr>
            </w:pPr>
          </w:p>
        </w:tc>
        <w:tc>
          <w:tcPr>
            <w:tcW w:w="1017" w:type="dxa"/>
            <w:vAlign w:val="center"/>
          </w:tcPr>
          <w:p w14:paraId="6B09317B" w14:textId="77777777" w:rsidR="00127C5E" w:rsidRPr="00127C5E" w:rsidRDefault="00127C5E" w:rsidP="00127C5E">
            <w:pPr>
              <w:spacing w:before="120"/>
              <w:jc w:val="center"/>
              <w:rPr>
                <w:sz w:val="18"/>
              </w:rPr>
            </w:pPr>
            <w:r w:rsidRPr="00127C5E">
              <w:rPr>
                <w:sz w:val="18"/>
              </w:rPr>
              <w:t>2024 y años anteriores</w:t>
            </w:r>
          </w:p>
        </w:tc>
        <w:tc>
          <w:tcPr>
            <w:tcW w:w="916" w:type="dxa"/>
            <w:vAlign w:val="center"/>
          </w:tcPr>
          <w:p w14:paraId="5ABC1D8A" w14:textId="77777777" w:rsidR="00127C5E" w:rsidRPr="00127C5E" w:rsidRDefault="00127C5E" w:rsidP="00127C5E">
            <w:pPr>
              <w:spacing w:before="120"/>
              <w:jc w:val="center"/>
              <w:rPr>
                <w:sz w:val="18"/>
              </w:rPr>
            </w:pPr>
            <w:r w:rsidRPr="00127C5E">
              <w:rPr>
                <w:sz w:val="18"/>
              </w:rPr>
              <w:t>0 %</w:t>
            </w:r>
          </w:p>
        </w:tc>
        <w:tc>
          <w:tcPr>
            <w:tcW w:w="917" w:type="dxa"/>
            <w:vAlign w:val="center"/>
          </w:tcPr>
          <w:p w14:paraId="7DC619A9" w14:textId="77777777" w:rsidR="00127C5E" w:rsidRPr="00127C5E" w:rsidRDefault="00127C5E" w:rsidP="00127C5E">
            <w:pPr>
              <w:spacing w:before="120"/>
              <w:jc w:val="center"/>
              <w:rPr>
                <w:sz w:val="18"/>
              </w:rPr>
            </w:pPr>
            <w:r w:rsidRPr="00127C5E">
              <w:rPr>
                <w:sz w:val="18"/>
              </w:rPr>
              <w:t>0 %</w:t>
            </w:r>
          </w:p>
        </w:tc>
        <w:tc>
          <w:tcPr>
            <w:tcW w:w="967" w:type="dxa"/>
            <w:vAlign w:val="center"/>
          </w:tcPr>
          <w:p w14:paraId="33D36321" w14:textId="77777777" w:rsidR="00127C5E" w:rsidRPr="00127C5E" w:rsidRDefault="00127C5E" w:rsidP="00127C5E">
            <w:pPr>
              <w:spacing w:before="120"/>
              <w:jc w:val="center"/>
              <w:rPr>
                <w:sz w:val="18"/>
              </w:rPr>
            </w:pPr>
            <w:r w:rsidRPr="00127C5E">
              <w:rPr>
                <w:sz w:val="18"/>
              </w:rPr>
              <w:t>0 %</w:t>
            </w:r>
          </w:p>
        </w:tc>
        <w:tc>
          <w:tcPr>
            <w:tcW w:w="1007" w:type="dxa"/>
            <w:vAlign w:val="center"/>
          </w:tcPr>
          <w:p w14:paraId="4F8EB0D8" w14:textId="77777777" w:rsidR="00127C5E" w:rsidRPr="00127C5E" w:rsidRDefault="00127C5E" w:rsidP="00127C5E">
            <w:pPr>
              <w:spacing w:before="120"/>
              <w:jc w:val="center"/>
              <w:rPr>
                <w:sz w:val="18"/>
              </w:rPr>
            </w:pPr>
            <w:r w:rsidRPr="00127C5E">
              <w:rPr>
                <w:sz w:val="18"/>
              </w:rPr>
              <w:t>100 %</w:t>
            </w:r>
          </w:p>
        </w:tc>
        <w:tc>
          <w:tcPr>
            <w:tcW w:w="817" w:type="dxa"/>
            <w:vAlign w:val="center"/>
          </w:tcPr>
          <w:p w14:paraId="30232FBA" w14:textId="77777777" w:rsidR="00127C5E" w:rsidRPr="00127C5E" w:rsidRDefault="00127C5E" w:rsidP="00127C5E">
            <w:pPr>
              <w:spacing w:before="120"/>
              <w:jc w:val="center"/>
              <w:rPr>
                <w:sz w:val="18"/>
              </w:rPr>
            </w:pPr>
            <w:r w:rsidRPr="00127C5E">
              <w:rPr>
                <w:sz w:val="18"/>
              </w:rPr>
              <w:t>100 %</w:t>
            </w:r>
          </w:p>
        </w:tc>
      </w:tr>
      <w:tr w:rsidR="00127C5E" w:rsidRPr="00127C5E" w14:paraId="421B96B1" w14:textId="77777777" w:rsidTr="00127C5E">
        <w:trPr>
          <w:gridAfter w:val="1"/>
          <w:wAfter w:w="8" w:type="dxa"/>
          <w:jc w:val="center"/>
        </w:trPr>
        <w:tc>
          <w:tcPr>
            <w:tcW w:w="1757" w:type="dxa"/>
            <w:vMerge w:val="restart"/>
            <w:vAlign w:val="center"/>
          </w:tcPr>
          <w:p w14:paraId="595D7913" w14:textId="77777777" w:rsidR="00127C5E" w:rsidRPr="00127C5E" w:rsidRDefault="00127C5E" w:rsidP="00127C5E">
            <w:pPr>
              <w:spacing w:before="120"/>
              <w:jc w:val="center"/>
              <w:rPr>
                <w:b/>
                <w:bCs/>
                <w:sz w:val="18"/>
              </w:rPr>
            </w:pPr>
            <w:r w:rsidRPr="00127C5E">
              <w:rPr>
                <w:b/>
                <w:bCs/>
                <w:sz w:val="18"/>
              </w:rPr>
              <w:t>Arbitrios municipales</w:t>
            </w:r>
          </w:p>
        </w:tc>
        <w:tc>
          <w:tcPr>
            <w:tcW w:w="1037" w:type="dxa"/>
            <w:vMerge w:val="restart"/>
            <w:vAlign w:val="center"/>
          </w:tcPr>
          <w:p w14:paraId="71FAC137" w14:textId="77777777" w:rsidR="00127C5E" w:rsidRPr="00127C5E" w:rsidRDefault="00127C5E" w:rsidP="00127C5E">
            <w:pPr>
              <w:spacing w:before="120"/>
              <w:jc w:val="center"/>
              <w:rPr>
                <w:sz w:val="18"/>
              </w:rPr>
            </w:pPr>
            <w:r w:rsidRPr="00127C5E">
              <w:rPr>
                <w:sz w:val="18"/>
              </w:rPr>
              <w:t>Que se encuentre en etapa coactiva</w:t>
            </w:r>
          </w:p>
        </w:tc>
        <w:tc>
          <w:tcPr>
            <w:tcW w:w="1170" w:type="dxa"/>
            <w:vMerge w:val="restart"/>
            <w:vAlign w:val="center"/>
          </w:tcPr>
          <w:p w14:paraId="3BD349BA" w14:textId="77777777" w:rsidR="00127C5E" w:rsidRPr="00127C5E" w:rsidRDefault="00127C5E" w:rsidP="00127C5E">
            <w:pPr>
              <w:spacing w:before="120"/>
              <w:jc w:val="center"/>
              <w:rPr>
                <w:sz w:val="18"/>
              </w:rPr>
            </w:pPr>
            <w:r w:rsidRPr="00127C5E">
              <w:rPr>
                <w:sz w:val="18"/>
              </w:rPr>
              <w:t>Cancelar todo lo que se encuentre en coactivo del periodo adeudado</w:t>
            </w:r>
          </w:p>
        </w:tc>
        <w:tc>
          <w:tcPr>
            <w:tcW w:w="1017" w:type="dxa"/>
            <w:vAlign w:val="center"/>
          </w:tcPr>
          <w:p w14:paraId="33C02A08" w14:textId="77777777" w:rsidR="00127C5E" w:rsidRPr="00127C5E" w:rsidRDefault="00127C5E" w:rsidP="00127C5E">
            <w:pPr>
              <w:spacing w:before="120"/>
              <w:jc w:val="center"/>
              <w:rPr>
                <w:b/>
                <w:bCs/>
                <w:sz w:val="18"/>
              </w:rPr>
            </w:pPr>
            <w:r w:rsidRPr="00127C5E">
              <w:rPr>
                <w:b/>
                <w:bCs/>
                <w:sz w:val="18"/>
              </w:rPr>
              <w:t>2025</w:t>
            </w:r>
          </w:p>
        </w:tc>
        <w:tc>
          <w:tcPr>
            <w:tcW w:w="916" w:type="dxa"/>
            <w:vAlign w:val="center"/>
          </w:tcPr>
          <w:p w14:paraId="6E1936FE" w14:textId="77777777" w:rsidR="00127C5E" w:rsidRPr="00127C5E" w:rsidRDefault="00127C5E" w:rsidP="00127C5E">
            <w:pPr>
              <w:spacing w:before="120"/>
              <w:jc w:val="center"/>
              <w:rPr>
                <w:b/>
                <w:bCs/>
                <w:sz w:val="18"/>
              </w:rPr>
            </w:pPr>
            <w:r w:rsidRPr="00127C5E">
              <w:rPr>
                <w:b/>
                <w:bCs/>
                <w:sz w:val="18"/>
              </w:rPr>
              <w:t>0 %</w:t>
            </w:r>
          </w:p>
        </w:tc>
        <w:tc>
          <w:tcPr>
            <w:tcW w:w="917" w:type="dxa"/>
            <w:vAlign w:val="center"/>
          </w:tcPr>
          <w:p w14:paraId="585F900E" w14:textId="77777777" w:rsidR="00127C5E" w:rsidRPr="00127C5E" w:rsidRDefault="00127C5E" w:rsidP="00127C5E">
            <w:pPr>
              <w:spacing w:before="120"/>
              <w:jc w:val="center"/>
              <w:rPr>
                <w:b/>
                <w:bCs/>
                <w:sz w:val="18"/>
              </w:rPr>
            </w:pPr>
            <w:r w:rsidRPr="00127C5E">
              <w:rPr>
                <w:b/>
                <w:bCs/>
                <w:sz w:val="18"/>
              </w:rPr>
              <w:t>0 %</w:t>
            </w:r>
          </w:p>
        </w:tc>
        <w:tc>
          <w:tcPr>
            <w:tcW w:w="967" w:type="dxa"/>
            <w:vAlign w:val="center"/>
          </w:tcPr>
          <w:p w14:paraId="65264492" w14:textId="77777777" w:rsidR="00127C5E" w:rsidRPr="00127C5E" w:rsidRDefault="00127C5E" w:rsidP="00127C5E">
            <w:pPr>
              <w:spacing w:before="120"/>
              <w:jc w:val="center"/>
              <w:rPr>
                <w:b/>
                <w:bCs/>
                <w:sz w:val="18"/>
              </w:rPr>
            </w:pPr>
            <w:r w:rsidRPr="00127C5E">
              <w:rPr>
                <w:b/>
                <w:bCs/>
                <w:sz w:val="18"/>
              </w:rPr>
              <w:t>0 %</w:t>
            </w:r>
          </w:p>
        </w:tc>
        <w:tc>
          <w:tcPr>
            <w:tcW w:w="1007" w:type="dxa"/>
            <w:vAlign w:val="center"/>
          </w:tcPr>
          <w:p w14:paraId="08218CEE" w14:textId="77777777" w:rsidR="00127C5E" w:rsidRPr="00127C5E" w:rsidRDefault="00127C5E" w:rsidP="00127C5E">
            <w:pPr>
              <w:spacing w:before="120"/>
              <w:jc w:val="center"/>
              <w:rPr>
                <w:b/>
                <w:bCs/>
                <w:sz w:val="18"/>
              </w:rPr>
            </w:pPr>
            <w:r w:rsidRPr="00127C5E">
              <w:rPr>
                <w:b/>
                <w:bCs/>
                <w:sz w:val="18"/>
              </w:rPr>
              <w:t>100 %</w:t>
            </w:r>
          </w:p>
        </w:tc>
        <w:tc>
          <w:tcPr>
            <w:tcW w:w="817" w:type="dxa"/>
            <w:vAlign w:val="center"/>
          </w:tcPr>
          <w:p w14:paraId="0A282B8E" w14:textId="77777777" w:rsidR="00127C5E" w:rsidRPr="00127C5E" w:rsidRDefault="00127C5E" w:rsidP="00127C5E">
            <w:pPr>
              <w:spacing w:before="120"/>
              <w:jc w:val="center"/>
              <w:rPr>
                <w:b/>
                <w:bCs/>
                <w:sz w:val="18"/>
              </w:rPr>
            </w:pPr>
            <w:r w:rsidRPr="00127C5E">
              <w:rPr>
                <w:b/>
                <w:bCs/>
                <w:sz w:val="18"/>
              </w:rPr>
              <w:t>100 %</w:t>
            </w:r>
          </w:p>
        </w:tc>
      </w:tr>
      <w:tr w:rsidR="00127C5E" w:rsidRPr="00127C5E" w14:paraId="2DC0C647" w14:textId="77777777" w:rsidTr="00127C5E">
        <w:trPr>
          <w:gridAfter w:val="1"/>
          <w:wAfter w:w="8" w:type="dxa"/>
          <w:jc w:val="center"/>
        </w:trPr>
        <w:tc>
          <w:tcPr>
            <w:tcW w:w="1757" w:type="dxa"/>
            <w:vMerge/>
            <w:vAlign w:val="center"/>
          </w:tcPr>
          <w:p w14:paraId="3770CF4E" w14:textId="77777777" w:rsidR="00127C5E" w:rsidRPr="00127C5E" w:rsidRDefault="00127C5E" w:rsidP="00127C5E">
            <w:pPr>
              <w:spacing w:before="120"/>
              <w:jc w:val="center"/>
              <w:rPr>
                <w:sz w:val="18"/>
              </w:rPr>
            </w:pPr>
          </w:p>
        </w:tc>
        <w:tc>
          <w:tcPr>
            <w:tcW w:w="1037" w:type="dxa"/>
            <w:vMerge/>
            <w:vAlign w:val="center"/>
          </w:tcPr>
          <w:p w14:paraId="7DCDB65A" w14:textId="77777777" w:rsidR="00127C5E" w:rsidRPr="00127C5E" w:rsidRDefault="00127C5E" w:rsidP="00127C5E">
            <w:pPr>
              <w:spacing w:before="120"/>
              <w:jc w:val="center"/>
              <w:rPr>
                <w:sz w:val="18"/>
              </w:rPr>
            </w:pPr>
          </w:p>
        </w:tc>
        <w:tc>
          <w:tcPr>
            <w:tcW w:w="1170" w:type="dxa"/>
            <w:vMerge/>
            <w:vAlign w:val="center"/>
          </w:tcPr>
          <w:p w14:paraId="57D9A4C9" w14:textId="77777777" w:rsidR="00127C5E" w:rsidRPr="00127C5E" w:rsidRDefault="00127C5E" w:rsidP="00127C5E">
            <w:pPr>
              <w:spacing w:before="120"/>
              <w:jc w:val="center"/>
              <w:rPr>
                <w:sz w:val="18"/>
              </w:rPr>
            </w:pPr>
          </w:p>
        </w:tc>
        <w:tc>
          <w:tcPr>
            <w:tcW w:w="1017" w:type="dxa"/>
            <w:vAlign w:val="center"/>
          </w:tcPr>
          <w:p w14:paraId="5393AA3B" w14:textId="77777777" w:rsidR="00127C5E" w:rsidRPr="00127C5E" w:rsidRDefault="00127C5E" w:rsidP="00127C5E">
            <w:pPr>
              <w:spacing w:before="120"/>
              <w:jc w:val="center"/>
              <w:rPr>
                <w:sz w:val="18"/>
              </w:rPr>
            </w:pPr>
            <w:r w:rsidRPr="00127C5E">
              <w:rPr>
                <w:sz w:val="18"/>
              </w:rPr>
              <w:t>2024</w:t>
            </w:r>
          </w:p>
        </w:tc>
        <w:tc>
          <w:tcPr>
            <w:tcW w:w="916" w:type="dxa"/>
            <w:vAlign w:val="center"/>
          </w:tcPr>
          <w:p w14:paraId="62F672E5" w14:textId="77777777" w:rsidR="00127C5E" w:rsidRPr="00127C5E" w:rsidRDefault="00127C5E" w:rsidP="00127C5E">
            <w:pPr>
              <w:spacing w:before="120"/>
              <w:jc w:val="center"/>
              <w:rPr>
                <w:sz w:val="18"/>
              </w:rPr>
            </w:pPr>
            <w:r w:rsidRPr="00127C5E">
              <w:rPr>
                <w:sz w:val="18"/>
              </w:rPr>
              <w:t>5 %</w:t>
            </w:r>
          </w:p>
        </w:tc>
        <w:tc>
          <w:tcPr>
            <w:tcW w:w="917" w:type="dxa"/>
            <w:vAlign w:val="center"/>
          </w:tcPr>
          <w:p w14:paraId="23A2B6C0" w14:textId="77777777" w:rsidR="00127C5E" w:rsidRPr="00127C5E" w:rsidRDefault="00127C5E" w:rsidP="00127C5E">
            <w:pPr>
              <w:spacing w:before="120"/>
              <w:jc w:val="center"/>
              <w:rPr>
                <w:sz w:val="18"/>
              </w:rPr>
            </w:pPr>
            <w:r w:rsidRPr="00127C5E">
              <w:rPr>
                <w:sz w:val="18"/>
              </w:rPr>
              <w:t>0 %</w:t>
            </w:r>
          </w:p>
        </w:tc>
        <w:tc>
          <w:tcPr>
            <w:tcW w:w="967" w:type="dxa"/>
            <w:vAlign w:val="center"/>
          </w:tcPr>
          <w:p w14:paraId="3449AB62" w14:textId="77777777" w:rsidR="00127C5E" w:rsidRPr="00127C5E" w:rsidRDefault="00127C5E" w:rsidP="00127C5E">
            <w:pPr>
              <w:spacing w:before="120"/>
              <w:jc w:val="center"/>
              <w:rPr>
                <w:sz w:val="18"/>
              </w:rPr>
            </w:pPr>
            <w:r w:rsidRPr="00127C5E">
              <w:rPr>
                <w:sz w:val="18"/>
              </w:rPr>
              <w:t>0 %</w:t>
            </w:r>
          </w:p>
        </w:tc>
        <w:tc>
          <w:tcPr>
            <w:tcW w:w="1007" w:type="dxa"/>
            <w:vAlign w:val="center"/>
          </w:tcPr>
          <w:p w14:paraId="09409AF5" w14:textId="77777777" w:rsidR="00127C5E" w:rsidRPr="00127C5E" w:rsidRDefault="00127C5E" w:rsidP="00127C5E">
            <w:pPr>
              <w:spacing w:before="120"/>
              <w:jc w:val="center"/>
              <w:rPr>
                <w:sz w:val="18"/>
              </w:rPr>
            </w:pPr>
            <w:r w:rsidRPr="00127C5E">
              <w:rPr>
                <w:sz w:val="18"/>
              </w:rPr>
              <w:t>100 %</w:t>
            </w:r>
          </w:p>
        </w:tc>
        <w:tc>
          <w:tcPr>
            <w:tcW w:w="817" w:type="dxa"/>
            <w:vAlign w:val="center"/>
          </w:tcPr>
          <w:p w14:paraId="0E856001" w14:textId="77777777" w:rsidR="00127C5E" w:rsidRPr="00127C5E" w:rsidRDefault="00127C5E" w:rsidP="00127C5E">
            <w:pPr>
              <w:spacing w:before="120"/>
              <w:jc w:val="center"/>
              <w:rPr>
                <w:sz w:val="18"/>
              </w:rPr>
            </w:pPr>
            <w:r w:rsidRPr="00127C5E">
              <w:rPr>
                <w:sz w:val="18"/>
              </w:rPr>
              <w:t>100 %</w:t>
            </w:r>
          </w:p>
        </w:tc>
      </w:tr>
      <w:tr w:rsidR="00127C5E" w:rsidRPr="00127C5E" w14:paraId="619723D2" w14:textId="77777777" w:rsidTr="00127C5E">
        <w:trPr>
          <w:gridAfter w:val="1"/>
          <w:wAfter w:w="8" w:type="dxa"/>
          <w:jc w:val="center"/>
        </w:trPr>
        <w:tc>
          <w:tcPr>
            <w:tcW w:w="1757" w:type="dxa"/>
            <w:vMerge/>
            <w:vAlign w:val="center"/>
          </w:tcPr>
          <w:p w14:paraId="5783694F" w14:textId="77777777" w:rsidR="00127C5E" w:rsidRPr="00127C5E" w:rsidRDefault="00127C5E" w:rsidP="00127C5E">
            <w:pPr>
              <w:spacing w:before="120"/>
              <w:jc w:val="center"/>
              <w:rPr>
                <w:sz w:val="18"/>
              </w:rPr>
            </w:pPr>
          </w:p>
        </w:tc>
        <w:tc>
          <w:tcPr>
            <w:tcW w:w="1037" w:type="dxa"/>
            <w:vMerge/>
            <w:vAlign w:val="center"/>
          </w:tcPr>
          <w:p w14:paraId="676BDB88" w14:textId="77777777" w:rsidR="00127C5E" w:rsidRPr="00127C5E" w:rsidRDefault="00127C5E" w:rsidP="00127C5E">
            <w:pPr>
              <w:spacing w:before="120"/>
              <w:jc w:val="center"/>
              <w:rPr>
                <w:sz w:val="18"/>
              </w:rPr>
            </w:pPr>
          </w:p>
        </w:tc>
        <w:tc>
          <w:tcPr>
            <w:tcW w:w="1170" w:type="dxa"/>
            <w:vMerge/>
            <w:vAlign w:val="center"/>
          </w:tcPr>
          <w:p w14:paraId="2FD1D676" w14:textId="77777777" w:rsidR="00127C5E" w:rsidRPr="00127C5E" w:rsidRDefault="00127C5E" w:rsidP="00127C5E">
            <w:pPr>
              <w:spacing w:before="120"/>
              <w:jc w:val="center"/>
              <w:rPr>
                <w:sz w:val="18"/>
              </w:rPr>
            </w:pPr>
          </w:p>
        </w:tc>
        <w:tc>
          <w:tcPr>
            <w:tcW w:w="1017" w:type="dxa"/>
            <w:vAlign w:val="center"/>
          </w:tcPr>
          <w:p w14:paraId="201D2F7B" w14:textId="77777777" w:rsidR="00127C5E" w:rsidRPr="00127C5E" w:rsidRDefault="00127C5E" w:rsidP="00127C5E">
            <w:pPr>
              <w:spacing w:before="120"/>
              <w:jc w:val="center"/>
              <w:rPr>
                <w:sz w:val="18"/>
              </w:rPr>
            </w:pPr>
            <w:r w:rsidRPr="00127C5E">
              <w:rPr>
                <w:sz w:val="18"/>
              </w:rPr>
              <w:t>2023</w:t>
            </w:r>
          </w:p>
        </w:tc>
        <w:tc>
          <w:tcPr>
            <w:tcW w:w="916" w:type="dxa"/>
            <w:vAlign w:val="center"/>
          </w:tcPr>
          <w:p w14:paraId="1AB34785" w14:textId="77777777" w:rsidR="00127C5E" w:rsidRPr="00127C5E" w:rsidRDefault="00127C5E" w:rsidP="00127C5E">
            <w:pPr>
              <w:spacing w:before="120"/>
              <w:jc w:val="center"/>
              <w:rPr>
                <w:sz w:val="18"/>
              </w:rPr>
            </w:pPr>
            <w:r w:rsidRPr="00127C5E">
              <w:rPr>
                <w:sz w:val="18"/>
              </w:rPr>
              <w:t>10 %</w:t>
            </w:r>
          </w:p>
        </w:tc>
        <w:tc>
          <w:tcPr>
            <w:tcW w:w="917" w:type="dxa"/>
            <w:vAlign w:val="center"/>
          </w:tcPr>
          <w:p w14:paraId="6ACB77E1" w14:textId="77777777" w:rsidR="00127C5E" w:rsidRPr="00127C5E" w:rsidRDefault="00127C5E" w:rsidP="00127C5E">
            <w:pPr>
              <w:spacing w:before="120"/>
              <w:jc w:val="center"/>
              <w:rPr>
                <w:sz w:val="18"/>
              </w:rPr>
            </w:pPr>
            <w:r w:rsidRPr="00127C5E">
              <w:rPr>
                <w:sz w:val="18"/>
              </w:rPr>
              <w:t>0 %</w:t>
            </w:r>
          </w:p>
        </w:tc>
        <w:tc>
          <w:tcPr>
            <w:tcW w:w="967" w:type="dxa"/>
            <w:vAlign w:val="center"/>
          </w:tcPr>
          <w:p w14:paraId="1AC2E648" w14:textId="77777777" w:rsidR="00127C5E" w:rsidRPr="00127C5E" w:rsidRDefault="00127C5E" w:rsidP="00127C5E">
            <w:pPr>
              <w:spacing w:before="120"/>
              <w:jc w:val="center"/>
              <w:rPr>
                <w:sz w:val="18"/>
              </w:rPr>
            </w:pPr>
            <w:r w:rsidRPr="00127C5E">
              <w:rPr>
                <w:sz w:val="18"/>
              </w:rPr>
              <w:t>0 %</w:t>
            </w:r>
          </w:p>
        </w:tc>
        <w:tc>
          <w:tcPr>
            <w:tcW w:w="1007" w:type="dxa"/>
            <w:vAlign w:val="center"/>
          </w:tcPr>
          <w:p w14:paraId="42090F3B" w14:textId="77777777" w:rsidR="00127C5E" w:rsidRPr="00127C5E" w:rsidRDefault="00127C5E" w:rsidP="00127C5E">
            <w:pPr>
              <w:spacing w:before="120"/>
              <w:jc w:val="center"/>
              <w:rPr>
                <w:sz w:val="18"/>
              </w:rPr>
            </w:pPr>
            <w:r w:rsidRPr="00127C5E">
              <w:rPr>
                <w:sz w:val="18"/>
              </w:rPr>
              <w:t>100 %</w:t>
            </w:r>
          </w:p>
        </w:tc>
        <w:tc>
          <w:tcPr>
            <w:tcW w:w="817" w:type="dxa"/>
            <w:vAlign w:val="center"/>
          </w:tcPr>
          <w:p w14:paraId="709A1150" w14:textId="77777777" w:rsidR="00127C5E" w:rsidRPr="00127C5E" w:rsidRDefault="00127C5E" w:rsidP="00127C5E">
            <w:pPr>
              <w:spacing w:before="120"/>
              <w:jc w:val="center"/>
              <w:rPr>
                <w:sz w:val="18"/>
              </w:rPr>
            </w:pPr>
            <w:r w:rsidRPr="00127C5E">
              <w:rPr>
                <w:sz w:val="18"/>
              </w:rPr>
              <w:t>100 %</w:t>
            </w:r>
          </w:p>
        </w:tc>
      </w:tr>
      <w:tr w:rsidR="00127C5E" w:rsidRPr="00127C5E" w14:paraId="0DBE12AE" w14:textId="77777777" w:rsidTr="00127C5E">
        <w:trPr>
          <w:gridAfter w:val="1"/>
          <w:wAfter w:w="8" w:type="dxa"/>
          <w:jc w:val="center"/>
        </w:trPr>
        <w:tc>
          <w:tcPr>
            <w:tcW w:w="1757" w:type="dxa"/>
            <w:vMerge/>
            <w:vAlign w:val="center"/>
          </w:tcPr>
          <w:p w14:paraId="7E460F92" w14:textId="77777777" w:rsidR="00127C5E" w:rsidRPr="00127C5E" w:rsidRDefault="00127C5E" w:rsidP="00127C5E">
            <w:pPr>
              <w:spacing w:before="120"/>
              <w:jc w:val="center"/>
              <w:rPr>
                <w:sz w:val="18"/>
              </w:rPr>
            </w:pPr>
          </w:p>
        </w:tc>
        <w:tc>
          <w:tcPr>
            <w:tcW w:w="1037" w:type="dxa"/>
            <w:vMerge/>
            <w:vAlign w:val="center"/>
          </w:tcPr>
          <w:p w14:paraId="60D03D89" w14:textId="77777777" w:rsidR="00127C5E" w:rsidRPr="00127C5E" w:rsidRDefault="00127C5E" w:rsidP="00127C5E">
            <w:pPr>
              <w:spacing w:before="120"/>
              <w:jc w:val="center"/>
              <w:rPr>
                <w:sz w:val="18"/>
              </w:rPr>
            </w:pPr>
          </w:p>
        </w:tc>
        <w:tc>
          <w:tcPr>
            <w:tcW w:w="1170" w:type="dxa"/>
            <w:vMerge/>
            <w:vAlign w:val="center"/>
          </w:tcPr>
          <w:p w14:paraId="2FD5A762" w14:textId="77777777" w:rsidR="00127C5E" w:rsidRPr="00127C5E" w:rsidRDefault="00127C5E" w:rsidP="00127C5E">
            <w:pPr>
              <w:spacing w:before="120"/>
              <w:jc w:val="center"/>
              <w:rPr>
                <w:sz w:val="18"/>
              </w:rPr>
            </w:pPr>
          </w:p>
        </w:tc>
        <w:tc>
          <w:tcPr>
            <w:tcW w:w="1017" w:type="dxa"/>
            <w:vAlign w:val="center"/>
          </w:tcPr>
          <w:p w14:paraId="328322AF" w14:textId="77777777" w:rsidR="00127C5E" w:rsidRPr="00127C5E" w:rsidRDefault="00127C5E" w:rsidP="00127C5E">
            <w:pPr>
              <w:spacing w:before="120"/>
              <w:jc w:val="center"/>
              <w:rPr>
                <w:sz w:val="18"/>
              </w:rPr>
            </w:pPr>
            <w:r w:rsidRPr="00127C5E">
              <w:rPr>
                <w:sz w:val="18"/>
              </w:rPr>
              <w:t>2021-2022</w:t>
            </w:r>
          </w:p>
        </w:tc>
        <w:tc>
          <w:tcPr>
            <w:tcW w:w="916" w:type="dxa"/>
            <w:vAlign w:val="center"/>
          </w:tcPr>
          <w:p w14:paraId="6BD6635F" w14:textId="77777777" w:rsidR="00127C5E" w:rsidRPr="00127C5E" w:rsidRDefault="00127C5E" w:rsidP="00127C5E">
            <w:pPr>
              <w:spacing w:before="120"/>
              <w:jc w:val="center"/>
              <w:rPr>
                <w:sz w:val="18"/>
              </w:rPr>
            </w:pPr>
            <w:r w:rsidRPr="00127C5E">
              <w:rPr>
                <w:sz w:val="18"/>
              </w:rPr>
              <w:t>20 %</w:t>
            </w:r>
          </w:p>
        </w:tc>
        <w:tc>
          <w:tcPr>
            <w:tcW w:w="917" w:type="dxa"/>
            <w:vAlign w:val="center"/>
          </w:tcPr>
          <w:p w14:paraId="1AAF1E83" w14:textId="77777777" w:rsidR="00127C5E" w:rsidRPr="00127C5E" w:rsidRDefault="00127C5E" w:rsidP="00127C5E">
            <w:pPr>
              <w:spacing w:before="120"/>
              <w:jc w:val="center"/>
              <w:rPr>
                <w:sz w:val="18"/>
              </w:rPr>
            </w:pPr>
            <w:r w:rsidRPr="00127C5E">
              <w:rPr>
                <w:sz w:val="18"/>
              </w:rPr>
              <w:t>0 %</w:t>
            </w:r>
          </w:p>
        </w:tc>
        <w:tc>
          <w:tcPr>
            <w:tcW w:w="967" w:type="dxa"/>
            <w:vAlign w:val="center"/>
          </w:tcPr>
          <w:p w14:paraId="4B3249C0" w14:textId="77777777" w:rsidR="00127C5E" w:rsidRPr="00127C5E" w:rsidRDefault="00127C5E" w:rsidP="00127C5E">
            <w:pPr>
              <w:spacing w:before="120"/>
              <w:jc w:val="center"/>
              <w:rPr>
                <w:sz w:val="18"/>
              </w:rPr>
            </w:pPr>
            <w:r w:rsidRPr="00127C5E">
              <w:rPr>
                <w:sz w:val="18"/>
              </w:rPr>
              <w:t>0 %</w:t>
            </w:r>
          </w:p>
        </w:tc>
        <w:tc>
          <w:tcPr>
            <w:tcW w:w="1007" w:type="dxa"/>
            <w:vAlign w:val="center"/>
          </w:tcPr>
          <w:p w14:paraId="6344337F" w14:textId="77777777" w:rsidR="00127C5E" w:rsidRPr="00127C5E" w:rsidRDefault="00127C5E" w:rsidP="00127C5E">
            <w:pPr>
              <w:spacing w:before="120"/>
              <w:jc w:val="center"/>
              <w:rPr>
                <w:sz w:val="18"/>
              </w:rPr>
            </w:pPr>
            <w:r w:rsidRPr="00127C5E">
              <w:rPr>
                <w:sz w:val="18"/>
              </w:rPr>
              <w:t>100 %</w:t>
            </w:r>
          </w:p>
        </w:tc>
        <w:tc>
          <w:tcPr>
            <w:tcW w:w="817" w:type="dxa"/>
            <w:vAlign w:val="center"/>
          </w:tcPr>
          <w:p w14:paraId="4A788CCB" w14:textId="77777777" w:rsidR="00127C5E" w:rsidRPr="00127C5E" w:rsidRDefault="00127C5E" w:rsidP="00127C5E">
            <w:pPr>
              <w:spacing w:before="120"/>
              <w:jc w:val="center"/>
              <w:rPr>
                <w:sz w:val="18"/>
              </w:rPr>
            </w:pPr>
            <w:r w:rsidRPr="00127C5E">
              <w:rPr>
                <w:sz w:val="18"/>
              </w:rPr>
              <w:t>100 %</w:t>
            </w:r>
          </w:p>
        </w:tc>
      </w:tr>
      <w:tr w:rsidR="00127C5E" w:rsidRPr="00127C5E" w14:paraId="2BA64324" w14:textId="77777777" w:rsidTr="00127C5E">
        <w:trPr>
          <w:gridAfter w:val="1"/>
          <w:wAfter w:w="8" w:type="dxa"/>
          <w:jc w:val="center"/>
        </w:trPr>
        <w:tc>
          <w:tcPr>
            <w:tcW w:w="1757" w:type="dxa"/>
            <w:vMerge/>
            <w:vAlign w:val="center"/>
          </w:tcPr>
          <w:p w14:paraId="4FDF42E6" w14:textId="77777777" w:rsidR="00127C5E" w:rsidRPr="00127C5E" w:rsidRDefault="00127C5E" w:rsidP="00127C5E">
            <w:pPr>
              <w:spacing w:before="120"/>
              <w:jc w:val="center"/>
              <w:rPr>
                <w:sz w:val="18"/>
              </w:rPr>
            </w:pPr>
          </w:p>
        </w:tc>
        <w:tc>
          <w:tcPr>
            <w:tcW w:w="1037" w:type="dxa"/>
            <w:vMerge/>
            <w:vAlign w:val="center"/>
          </w:tcPr>
          <w:p w14:paraId="43165968" w14:textId="77777777" w:rsidR="00127C5E" w:rsidRPr="00127C5E" w:rsidRDefault="00127C5E" w:rsidP="00127C5E">
            <w:pPr>
              <w:spacing w:before="120"/>
              <w:jc w:val="center"/>
              <w:rPr>
                <w:sz w:val="18"/>
              </w:rPr>
            </w:pPr>
          </w:p>
        </w:tc>
        <w:tc>
          <w:tcPr>
            <w:tcW w:w="1170" w:type="dxa"/>
            <w:vMerge/>
            <w:vAlign w:val="center"/>
          </w:tcPr>
          <w:p w14:paraId="4B70BB2E" w14:textId="77777777" w:rsidR="00127C5E" w:rsidRPr="00127C5E" w:rsidRDefault="00127C5E" w:rsidP="00127C5E">
            <w:pPr>
              <w:spacing w:before="120"/>
              <w:jc w:val="center"/>
              <w:rPr>
                <w:sz w:val="18"/>
              </w:rPr>
            </w:pPr>
          </w:p>
        </w:tc>
        <w:tc>
          <w:tcPr>
            <w:tcW w:w="1017" w:type="dxa"/>
            <w:vAlign w:val="center"/>
          </w:tcPr>
          <w:p w14:paraId="3EC9A9BB" w14:textId="77777777" w:rsidR="00127C5E" w:rsidRPr="00127C5E" w:rsidRDefault="00127C5E" w:rsidP="00127C5E">
            <w:pPr>
              <w:spacing w:before="120"/>
              <w:jc w:val="center"/>
              <w:rPr>
                <w:sz w:val="18"/>
              </w:rPr>
            </w:pPr>
            <w:r w:rsidRPr="00127C5E">
              <w:rPr>
                <w:sz w:val="18"/>
              </w:rPr>
              <w:t>2020-2016</w:t>
            </w:r>
          </w:p>
        </w:tc>
        <w:tc>
          <w:tcPr>
            <w:tcW w:w="916" w:type="dxa"/>
            <w:vAlign w:val="center"/>
          </w:tcPr>
          <w:p w14:paraId="5981327D" w14:textId="77777777" w:rsidR="00127C5E" w:rsidRPr="00127C5E" w:rsidRDefault="00127C5E" w:rsidP="00127C5E">
            <w:pPr>
              <w:spacing w:before="120"/>
              <w:jc w:val="center"/>
              <w:rPr>
                <w:sz w:val="18"/>
              </w:rPr>
            </w:pPr>
            <w:r w:rsidRPr="00127C5E">
              <w:rPr>
                <w:sz w:val="18"/>
              </w:rPr>
              <w:t>30 %</w:t>
            </w:r>
          </w:p>
        </w:tc>
        <w:tc>
          <w:tcPr>
            <w:tcW w:w="917" w:type="dxa"/>
            <w:vAlign w:val="center"/>
          </w:tcPr>
          <w:p w14:paraId="4C7AD128" w14:textId="77777777" w:rsidR="00127C5E" w:rsidRPr="00127C5E" w:rsidRDefault="00127C5E" w:rsidP="00127C5E">
            <w:pPr>
              <w:spacing w:before="120"/>
              <w:jc w:val="center"/>
              <w:rPr>
                <w:sz w:val="18"/>
              </w:rPr>
            </w:pPr>
            <w:r w:rsidRPr="00127C5E">
              <w:rPr>
                <w:sz w:val="18"/>
              </w:rPr>
              <w:t>0 %</w:t>
            </w:r>
          </w:p>
        </w:tc>
        <w:tc>
          <w:tcPr>
            <w:tcW w:w="967" w:type="dxa"/>
            <w:vAlign w:val="center"/>
          </w:tcPr>
          <w:p w14:paraId="1EB6CD04" w14:textId="77777777" w:rsidR="00127C5E" w:rsidRPr="00127C5E" w:rsidRDefault="00127C5E" w:rsidP="00127C5E">
            <w:pPr>
              <w:spacing w:before="120"/>
              <w:jc w:val="center"/>
              <w:rPr>
                <w:sz w:val="18"/>
              </w:rPr>
            </w:pPr>
            <w:r w:rsidRPr="00127C5E">
              <w:rPr>
                <w:sz w:val="18"/>
              </w:rPr>
              <w:t>0 %</w:t>
            </w:r>
          </w:p>
        </w:tc>
        <w:tc>
          <w:tcPr>
            <w:tcW w:w="1007" w:type="dxa"/>
            <w:vAlign w:val="center"/>
          </w:tcPr>
          <w:p w14:paraId="65E3D1FE" w14:textId="77777777" w:rsidR="00127C5E" w:rsidRPr="00127C5E" w:rsidRDefault="00127C5E" w:rsidP="00127C5E">
            <w:pPr>
              <w:spacing w:before="120"/>
              <w:jc w:val="center"/>
              <w:rPr>
                <w:sz w:val="18"/>
              </w:rPr>
            </w:pPr>
            <w:r w:rsidRPr="00127C5E">
              <w:rPr>
                <w:sz w:val="18"/>
              </w:rPr>
              <w:t>100 %</w:t>
            </w:r>
          </w:p>
        </w:tc>
        <w:tc>
          <w:tcPr>
            <w:tcW w:w="817" w:type="dxa"/>
            <w:vAlign w:val="center"/>
          </w:tcPr>
          <w:p w14:paraId="6FFBD84F" w14:textId="77777777" w:rsidR="00127C5E" w:rsidRPr="00127C5E" w:rsidRDefault="00127C5E" w:rsidP="00127C5E">
            <w:pPr>
              <w:spacing w:before="120"/>
              <w:jc w:val="center"/>
              <w:rPr>
                <w:sz w:val="18"/>
              </w:rPr>
            </w:pPr>
            <w:r w:rsidRPr="00127C5E">
              <w:rPr>
                <w:sz w:val="18"/>
              </w:rPr>
              <w:t>100 %</w:t>
            </w:r>
          </w:p>
        </w:tc>
      </w:tr>
      <w:tr w:rsidR="00127C5E" w:rsidRPr="00127C5E" w14:paraId="5820EF91" w14:textId="77777777" w:rsidTr="00127C5E">
        <w:trPr>
          <w:gridAfter w:val="1"/>
          <w:wAfter w:w="8" w:type="dxa"/>
          <w:jc w:val="center"/>
        </w:trPr>
        <w:tc>
          <w:tcPr>
            <w:tcW w:w="1757" w:type="dxa"/>
            <w:vMerge/>
            <w:vAlign w:val="center"/>
          </w:tcPr>
          <w:p w14:paraId="246A7A0C" w14:textId="77777777" w:rsidR="00127C5E" w:rsidRPr="00127C5E" w:rsidRDefault="00127C5E" w:rsidP="00127C5E">
            <w:pPr>
              <w:spacing w:before="120"/>
              <w:jc w:val="center"/>
              <w:rPr>
                <w:sz w:val="18"/>
              </w:rPr>
            </w:pPr>
          </w:p>
        </w:tc>
        <w:tc>
          <w:tcPr>
            <w:tcW w:w="1037" w:type="dxa"/>
            <w:vMerge/>
            <w:vAlign w:val="center"/>
          </w:tcPr>
          <w:p w14:paraId="23D8DA27" w14:textId="77777777" w:rsidR="00127C5E" w:rsidRPr="00127C5E" w:rsidRDefault="00127C5E" w:rsidP="00127C5E">
            <w:pPr>
              <w:spacing w:before="120"/>
              <w:jc w:val="center"/>
              <w:rPr>
                <w:sz w:val="18"/>
              </w:rPr>
            </w:pPr>
          </w:p>
        </w:tc>
        <w:tc>
          <w:tcPr>
            <w:tcW w:w="1170" w:type="dxa"/>
            <w:vMerge/>
            <w:vAlign w:val="center"/>
          </w:tcPr>
          <w:p w14:paraId="5135E20F" w14:textId="77777777" w:rsidR="00127C5E" w:rsidRPr="00127C5E" w:rsidRDefault="00127C5E" w:rsidP="00127C5E">
            <w:pPr>
              <w:spacing w:before="120"/>
              <w:jc w:val="center"/>
              <w:rPr>
                <w:sz w:val="18"/>
              </w:rPr>
            </w:pPr>
          </w:p>
        </w:tc>
        <w:tc>
          <w:tcPr>
            <w:tcW w:w="1017" w:type="dxa"/>
            <w:vAlign w:val="center"/>
          </w:tcPr>
          <w:p w14:paraId="1B2E35C3" w14:textId="77777777" w:rsidR="00127C5E" w:rsidRPr="00127C5E" w:rsidRDefault="00127C5E" w:rsidP="00127C5E">
            <w:pPr>
              <w:spacing w:before="120"/>
              <w:jc w:val="center"/>
              <w:rPr>
                <w:sz w:val="18"/>
              </w:rPr>
            </w:pPr>
            <w:r w:rsidRPr="00127C5E">
              <w:rPr>
                <w:sz w:val="18"/>
              </w:rPr>
              <w:t xml:space="preserve">2015 y años </w:t>
            </w:r>
            <w:r w:rsidRPr="00127C5E">
              <w:rPr>
                <w:sz w:val="18"/>
              </w:rPr>
              <w:lastRenderedPageBreak/>
              <w:t>anteriores</w:t>
            </w:r>
          </w:p>
        </w:tc>
        <w:tc>
          <w:tcPr>
            <w:tcW w:w="916" w:type="dxa"/>
            <w:vAlign w:val="center"/>
          </w:tcPr>
          <w:p w14:paraId="56D14B49" w14:textId="77777777" w:rsidR="00127C5E" w:rsidRPr="00127C5E" w:rsidRDefault="00127C5E" w:rsidP="00127C5E">
            <w:pPr>
              <w:spacing w:before="120"/>
              <w:jc w:val="center"/>
              <w:rPr>
                <w:sz w:val="18"/>
              </w:rPr>
            </w:pPr>
            <w:r w:rsidRPr="00127C5E">
              <w:rPr>
                <w:sz w:val="18"/>
              </w:rPr>
              <w:lastRenderedPageBreak/>
              <w:t>50 %</w:t>
            </w:r>
          </w:p>
        </w:tc>
        <w:tc>
          <w:tcPr>
            <w:tcW w:w="917" w:type="dxa"/>
            <w:vAlign w:val="center"/>
          </w:tcPr>
          <w:p w14:paraId="36421A5E" w14:textId="77777777" w:rsidR="00127C5E" w:rsidRPr="00127C5E" w:rsidRDefault="00127C5E" w:rsidP="00127C5E">
            <w:pPr>
              <w:spacing w:before="120"/>
              <w:jc w:val="center"/>
              <w:rPr>
                <w:sz w:val="18"/>
              </w:rPr>
            </w:pPr>
            <w:r w:rsidRPr="00127C5E">
              <w:rPr>
                <w:sz w:val="18"/>
              </w:rPr>
              <w:t>0 %</w:t>
            </w:r>
          </w:p>
        </w:tc>
        <w:tc>
          <w:tcPr>
            <w:tcW w:w="967" w:type="dxa"/>
            <w:vAlign w:val="center"/>
          </w:tcPr>
          <w:p w14:paraId="20FA62BD" w14:textId="77777777" w:rsidR="00127C5E" w:rsidRPr="00127C5E" w:rsidRDefault="00127C5E" w:rsidP="00127C5E">
            <w:pPr>
              <w:spacing w:before="120"/>
              <w:jc w:val="center"/>
              <w:rPr>
                <w:sz w:val="18"/>
              </w:rPr>
            </w:pPr>
            <w:r w:rsidRPr="00127C5E">
              <w:rPr>
                <w:sz w:val="18"/>
              </w:rPr>
              <w:t>0 %</w:t>
            </w:r>
          </w:p>
        </w:tc>
        <w:tc>
          <w:tcPr>
            <w:tcW w:w="1007" w:type="dxa"/>
            <w:vAlign w:val="center"/>
          </w:tcPr>
          <w:p w14:paraId="40AAB74A" w14:textId="77777777" w:rsidR="00127C5E" w:rsidRPr="00127C5E" w:rsidRDefault="00127C5E" w:rsidP="00127C5E">
            <w:pPr>
              <w:spacing w:before="120"/>
              <w:jc w:val="center"/>
              <w:rPr>
                <w:sz w:val="18"/>
              </w:rPr>
            </w:pPr>
            <w:r w:rsidRPr="00127C5E">
              <w:rPr>
                <w:sz w:val="18"/>
              </w:rPr>
              <w:t>100 %</w:t>
            </w:r>
          </w:p>
        </w:tc>
        <w:tc>
          <w:tcPr>
            <w:tcW w:w="817" w:type="dxa"/>
            <w:vAlign w:val="center"/>
          </w:tcPr>
          <w:p w14:paraId="7046686C" w14:textId="77777777" w:rsidR="00127C5E" w:rsidRPr="00127C5E" w:rsidRDefault="00127C5E" w:rsidP="00127C5E">
            <w:pPr>
              <w:spacing w:before="120"/>
              <w:jc w:val="center"/>
              <w:rPr>
                <w:sz w:val="18"/>
              </w:rPr>
            </w:pPr>
            <w:r w:rsidRPr="00127C5E">
              <w:rPr>
                <w:sz w:val="18"/>
              </w:rPr>
              <w:t>100 %</w:t>
            </w:r>
          </w:p>
        </w:tc>
      </w:tr>
      <w:tr w:rsidR="00127C5E" w:rsidRPr="00127C5E" w14:paraId="15129E80" w14:textId="77777777" w:rsidTr="00127C5E">
        <w:trPr>
          <w:gridAfter w:val="1"/>
          <w:wAfter w:w="8" w:type="dxa"/>
          <w:jc w:val="center"/>
        </w:trPr>
        <w:tc>
          <w:tcPr>
            <w:tcW w:w="1757" w:type="dxa"/>
            <w:vAlign w:val="center"/>
          </w:tcPr>
          <w:p w14:paraId="02938318" w14:textId="77777777" w:rsidR="00127C5E" w:rsidRPr="00127C5E" w:rsidRDefault="00127C5E" w:rsidP="00127C5E">
            <w:pPr>
              <w:spacing w:before="120"/>
              <w:jc w:val="center"/>
              <w:rPr>
                <w:b/>
                <w:bCs/>
                <w:sz w:val="18"/>
              </w:rPr>
            </w:pPr>
            <w:r w:rsidRPr="00127C5E">
              <w:rPr>
                <w:b/>
                <w:bCs/>
                <w:sz w:val="18"/>
              </w:rPr>
              <w:lastRenderedPageBreak/>
              <w:t>Multas tributarias</w:t>
            </w:r>
          </w:p>
        </w:tc>
        <w:tc>
          <w:tcPr>
            <w:tcW w:w="1037" w:type="dxa"/>
            <w:vAlign w:val="center"/>
          </w:tcPr>
          <w:p w14:paraId="7018D508" w14:textId="77777777" w:rsidR="00127C5E" w:rsidRPr="00127C5E" w:rsidRDefault="00127C5E" w:rsidP="00127C5E">
            <w:pPr>
              <w:spacing w:before="120"/>
              <w:jc w:val="center"/>
              <w:rPr>
                <w:sz w:val="18"/>
              </w:rPr>
            </w:pPr>
            <w:r w:rsidRPr="00127C5E">
              <w:rPr>
                <w:sz w:val="18"/>
              </w:rPr>
              <w:t>Que se encuentre en etapa coactiva</w:t>
            </w:r>
          </w:p>
        </w:tc>
        <w:tc>
          <w:tcPr>
            <w:tcW w:w="1170" w:type="dxa"/>
            <w:vAlign w:val="center"/>
          </w:tcPr>
          <w:p w14:paraId="03B17F49" w14:textId="77777777" w:rsidR="00127C5E" w:rsidRPr="00127C5E" w:rsidRDefault="00127C5E" w:rsidP="00127C5E">
            <w:pPr>
              <w:spacing w:before="120"/>
              <w:jc w:val="center"/>
              <w:rPr>
                <w:sz w:val="18"/>
              </w:rPr>
            </w:pPr>
            <w:r w:rsidRPr="00127C5E">
              <w:rPr>
                <w:sz w:val="18"/>
              </w:rPr>
              <w:t>Cancelar todo lo que se encuentre en coactivo del periodo adeudado</w:t>
            </w:r>
          </w:p>
        </w:tc>
        <w:tc>
          <w:tcPr>
            <w:tcW w:w="1017" w:type="dxa"/>
            <w:vAlign w:val="center"/>
          </w:tcPr>
          <w:p w14:paraId="4B6CC2CD" w14:textId="77777777" w:rsidR="00127C5E" w:rsidRPr="00127C5E" w:rsidRDefault="00127C5E" w:rsidP="00127C5E">
            <w:pPr>
              <w:spacing w:before="120"/>
              <w:jc w:val="center"/>
              <w:rPr>
                <w:sz w:val="18"/>
              </w:rPr>
            </w:pPr>
            <w:r w:rsidRPr="00127C5E">
              <w:rPr>
                <w:sz w:val="18"/>
              </w:rPr>
              <w:t>2024 y años anteriores</w:t>
            </w:r>
          </w:p>
        </w:tc>
        <w:tc>
          <w:tcPr>
            <w:tcW w:w="916" w:type="dxa"/>
            <w:vAlign w:val="center"/>
          </w:tcPr>
          <w:p w14:paraId="2679FD8D" w14:textId="77777777" w:rsidR="00127C5E" w:rsidRPr="00127C5E" w:rsidRDefault="00127C5E" w:rsidP="00127C5E">
            <w:pPr>
              <w:spacing w:before="120"/>
              <w:jc w:val="center"/>
              <w:rPr>
                <w:sz w:val="18"/>
              </w:rPr>
            </w:pPr>
            <w:r w:rsidRPr="00127C5E">
              <w:rPr>
                <w:sz w:val="18"/>
              </w:rPr>
              <w:t>90 %</w:t>
            </w:r>
          </w:p>
        </w:tc>
        <w:tc>
          <w:tcPr>
            <w:tcW w:w="917" w:type="dxa"/>
            <w:vAlign w:val="center"/>
          </w:tcPr>
          <w:p w14:paraId="3100E436" w14:textId="77777777" w:rsidR="00127C5E" w:rsidRPr="00127C5E" w:rsidRDefault="00127C5E" w:rsidP="00127C5E">
            <w:pPr>
              <w:spacing w:before="120"/>
              <w:jc w:val="center"/>
              <w:rPr>
                <w:sz w:val="18"/>
              </w:rPr>
            </w:pPr>
            <w:r w:rsidRPr="00127C5E">
              <w:rPr>
                <w:sz w:val="18"/>
              </w:rPr>
              <w:t>0 %</w:t>
            </w:r>
          </w:p>
        </w:tc>
        <w:tc>
          <w:tcPr>
            <w:tcW w:w="967" w:type="dxa"/>
            <w:vAlign w:val="center"/>
          </w:tcPr>
          <w:p w14:paraId="0A3FCB3B" w14:textId="77777777" w:rsidR="00127C5E" w:rsidRPr="00127C5E" w:rsidRDefault="00127C5E" w:rsidP="00127C5E">
            <w:pPr>
              <w:spacing w:before="120"/>
              <w:jc w:val="center"/>
              <w:rPr>
                <w:sz w:val="18"/>
              </w:rPr>
            </w:pPr>
            <w:r w:rsidRPr="00127C5E">
              <w:rPr>
                <w:sz w:val="18"/>
              </w:rPr>
              <w:t>0 %</w:t>
            </w:r>
          </w:p>
        </w:tc>
        <w:tc>
          <w:tcPr>
            <w:tcW w:w="1007" w:type="dxa"/>
            <w:vAlign w:val="center"/>
          </w:tcPr>
          <w:p w14:paraId="4C644138" w14:textId="77777777" w:rsidR="00127C5E" w:rsidRPr="00127C5E" w:rsidRDefault="00127C5E" w:rsidP="00127C5E">
            <w:pPr>
              <w:spacing w:before="120"/>
              <w:jc w:val="center"/>
              <w:rPr>
                <w:sz w:val="18"/>
              </w:rPr>
            </w:pPr>
            <w:r w:rsidRPr="00127C5E">
              <w:rPr>
                <w:sz w:val="18"/>
              </w:rPr>
              <w:t>100 %</w:t>
            </w:r>
          </w:p>
        </w:tc>
        <w:tc>
          <w:tcPr>
            <w:tcW w:w="817" w:type="dxa"/>
            <w:vAlign w:val="center"/>
          </w:tcPr>
          <w:p w14:paraId="3D26D052" w14:textId="77777777" w:rsidR="00127C5E" w:rsidRPr="00127C5E" w:rsidRDefault="00127C5E" w:rsidP="00127C5E">
            <w:pPr>
              <w:spacing w:before="120"/>
              <w:jc w:val="center"/>
              <w:rPr>
                <w:sz w:val="18"/>
              </w:rPr>
            </w:pPr>
            <w:r w:rsidRPr="00127C5E">
              <w:rPr>
                <w:sz w:val="18"/>
              </w:rPr>
              <w:t>100 %</w:t>
            </w:r>
          </w:p>
        </w:tc>
      </w:tr>
      <w:tr w:rsidR="00127C5E" w:rsidRPr="00127C5E" w14:paraId="2E6592EC" w14:textId="77777777" w:rsidTr="00127C5E">
        <w:trPr>
          <w:gridAfter w:val="1"/>
          <w:wAfter w:w="8" w:type="dxa"/>
          <w:jc w:val="center"/>
        </w:trPr>
        <w:tc>
          <w:tcPr>
            <w:tcW w:w="1757" w:type="dxa"/>
            <w:vAlign w:val="center"/>
          </w:tcPr>
          <w:p w14:paraId="06575DA2" w14:textId="77777777" w:rsidR="00127C5E" w:rsidRPr="00127C5E" w:rsidRDefault="00127C5E" w:rsidP="00127C5E">
            <w:pPr>
              <w:spacing w:before="120"/>
              <w:jc w:val="center"/>
              <w:rPr>
                <w:b/>
                <w:bCs/>
                <w:sz w:val="18"/>
              </w:rPr>
            </w:pPr>
            <w:r w:rsidRPr="00127C5E">
              <w:rPr>
                <w:b/>
                <w:bCs/>
                <w:sz w:val="18"/>
              </w:rPr>
              <w:t>Fraccionamientos Tributarios</w:t>
            </w:r>
          </w:p>
        </w:tc>
        <w:tc>
          <w:tcPr>
            <w:tcW w:w="1037" w:type="dxa"/>
            <w:vAlign w:val="center"/>
          </w:tcPr>
          <w:p w14:paraId="60AFCE1E" w14:textId="77777777" w:rsidR="00127C5E" w:rsidRPr="00127C5E" w:rsidRDefault="00127C5E" w:rsidP="00127C5E">
            <w:pPr>
              <w:spacing w:before="120"/>
              <w:jc w:val="center"/>
              <w:rPr>
                <w:sz w:val="18"/>
              </w:rPr>
            </w:pPr>
            <w:r w:rsidRPr="00127C5E">
              <w:rPr>
                <w:sz w:val="18"/>
              </w:rPr>
              <w:t>Ninguno</w:t>
            </w:r>
          </w:p>
        </w:tc>
        <w:tc>
          <w:tcPr>
            <w:tcW w:w="1170" w:type="dxa"/>
            <w:vAlign w:val="center"/>
          </w:tcPr>
          <w:p w14:paraId="53832C90" w14:textId="77777777" w:rsidR="00127C5E" w:rsidRPr="00127C5E" w:rsidRDefault="00127C5E" w:rsidP="00127C5E">
            <w:pPr>
              <w:spacing w:before="120"/>
              <w:jc w:val="center"/>
              <w:rPr>
                <w:sz w:val="18"/>
              </w:rPr>
            </w:pPr>
            <w:r w:rsidRPr="00127C5E">
              <w:rPr>
                <w:sz w:val="18"/>
              </w:rPr>
              <w:t>Ninguno</w:t>
            </w:r>
          </w:p>
        </w:tc>
        <w:tc>
          <w:tcPr>
            <w:tcW w:w="1017" w:type="dxa"/>
            <w:vAlign w:val="center"/>
          </w:tcPr>
          <w:p w14:paraId="6A517E15" w14:textId="77777777" w:rsidR="00127C5E" w:rsidRPr="00127C5E" w:rsidRDefault="00127C5E" w:rsidP="00127C5E">
            <w:pPr>
              <w:spacing w:before="120"/>
              <w:jc w:val="center"/>
              <w:rPr>
                <w:sz w:val="18"/>
              </w:rPr>
            </w:pPr>
            <w:r w:rsidRPr="00127C5E">
              <w:rPr>
                <w:sz w:val="18"/>
              </w:rPr>
              <w:t>2024 y años anteriores</w:t>
            </w:r>
          </w:p>
        </w:tc>
        <w:tc>
          <w:tcPr>
            <w:tcW w:w="916" w:type="dxa"/>
            <w:vAlign w:val="center"/>
          </w:tcPr>
          <w:p w14:paraId="535EC970" w14:textId="77777777" w:rsidR="00127C5E" w:rsidRPr="00127C5E" w:rsidRDefault="00127C5E" w:rsidP="00127C5E">
            <w:pPr>
              <w:spacing w:before="120"/>
              <w:jc w:val="center"/>
              <w:rPr>
                <w:sz w:val="18"/>
              </w:rPr>
            </w:pPr>
            <w:r w:rsidRPr="00127C5E">
              <w:rPr>
                <w:sz w:val="18"/>
              </w:rPr>
              <w:t>0 %</w:t>
            </w:r>
          </w:p>
        </w:tc>
        <w:tc>
          <w:tcPr>
            <w:tcW w:w="917" w:type="dxa"/>
            <w:vAlign w:val="center"/>
          </w:tcPr>
          <w:p w14:paraId="7662B769" w14:textId="77777777" w:rsidR="00127C5E" w:rsidRPr="00127C5E" w:rsidRDefault="00127C5E" w:rsidP="00127C5E">
            <w:pPr>
              <w:spacing w:before="120"/>
              <w:jc w:val="center"/>
              <w:rPr>
                <w:sz w:val="18"/>
              </w:rPr>
            </w:pPr>
            <w:r w:rsidRPr="00127C5E">
              <w:rPr>
                <w:sz w:val="18"/>
              </w:rPr>
              <w:t>0 %</w:t>
            </w:r>
          </w:p>
        </w:tc>
        <w:tc>
          <w:tcPr>
            <w:tcW w:w="967" w:type="dxa"/>
            <w:vAlign w:val="center"/>
          </w:tcPr>
          <w:p w14:paraId="44231C4C" w14:textId="77777777" w:rsidR="00127C5E" w:rsidRPr="00127C5E" w:rsidRDefault="00127C5E" w:rsidP="00127C5E">
            <w:pPr>
              <w:spacing w:before="120"/>
              <w:jc w:val="center"/>
              <w:rPr>
                <w:sz w:val="18"/>
              </w:rPr>
            </w:pPr>
            <w:r w:rsidRPr="00127C5E">
              <w:rPr>
                <w:sz w:val="18"/>
              </w:rPr>
              <w:t>0 %</w:t>
            </w:r>
          </w:p>
        </w:tc>
        <w:tc>
          <w:tcPr>
            <w:tcW w:w="1007" w:type="dxa"/>
            <w:vAlign w:val="center"/>
          </w:tcPr>
          <w:p w14:paraId="120171D8" w14:textId="77777777" w:rsidR="00127C5E" w:rsidRPr="00127C5E" w:rsidRDefault="00127C5E" w:rsidP="00127C5E">
            <w:pPr>
              <w:spacing w:before="120"/>
              <w:jc w:val="center"/>
              <w:rPr>
                <w:sz w:val="18"/>
              </w:rPr>
            </w:pPr>
            <w:r w:rsidRPr="00127C5E">
              <w:rPr>
                <w:sz w:val="18"/>
              </w:rPr>
              <w:t>100 %</w:t>
            </w:r>
          </w:p>
        </w:tc>
        <w:tc>
          <w:tcPr>
            <w:tcW w:w="817" w:type="dxa"/>
            <w:vAlign w:val="center"/>
          </w:tcPr>
          <w:p w14:paraId="5C7923F7" w14:textId="77777777" w:rsidR="00127C5E" w:rsidRPr="00127C5E" w:rsidRDefault="00127C5E" w:rsidP="00127C5E">
            <w:pPr>
              <w:spacing w:before="120"/>
              <w:jc w:val="center"/>
              <w:rPr>
                <w:sz w:val="18"/>
              </w:rPr>
            </w:pPr>
            <w:r w:rsidRPr="00127C5E">
              <w:rPr>
                <w:sz w:val="18"/>
              </w:rPr>
              <w:t>100 %</w:t>
            </w:r>
          </w:p>
        </w:tc>
      </w:tr>
      <w:tr w:rsidR="00127C5E" w:rsidRPr="00127C5E" w14:paraId="7CC3AAE4" w14:textId="77777777" w:rsidTr="00127C5E">
        <w:trPr>
          <w:jc w:val="center"/>
        </w:trPr>
        <w:tc>
          <w:tcPr>
            <w:tcW w:w="9613" w:type="dxa"/>
            <w:gridSpan w:val="10"/>
          </w:tcPr>
          <w:p w14:paraId="739D8351" w14:textId="1DDBFDB5" w:rsidR="00127C5E" w:rsidRPr="00127C5E" w:rsidRDefault="00127C5E" w:rsidP="00127C5E">
            <w:pPr>
              <w:spacing w:before="120"/>
              <w:rPr>
                <w:sz w:val="18"/>
              </w:rPr>
            </w:pPr>
            <w:r w:rsidRPr="00127C5E">
              <w:rPr>
                <w:sz w:val="18"/>
              </w:rPr>
              <w:t>*Se condonará toda costa procesal y gasto administrativo, salvo los generados por conceptos de la emisión y notificación del informe pericial de tasación, el cual debe ser cancelado en su totalidad por parte del obligado, a quien se le inició el Procedimiento de Ejecución forzada del embargo en forma de inscripción que tenía trabado previamente en su (s) procedimiento (s) de ejecución coactiva.</w:t>
            </w:r>
          </w:p>
        </w:tc>
      </w:tr>
      <w:tr w:rsidR="00127C5E" w:rsidRPr="00127C5E" w14:paraId="7C00B113" w14:textId="77777777" w:rsidTr="00127C5E">
        <w:trPr>
          <w:jc w:val="center"/>
        </w:trPr>
        <w:tc>
          <w:tcPr>
            <w:tcW w:w="9613" w:type="dxa"/>
            <w:gridSpan w:val="10"/>
          </w:tcPr>
          <w:p w14:paraId="1EB0B446" w14:textId="71CBEE30" w:rsidR="00127C5E" w:rsidRPr="00127C5E" w:rsidRDefault="00127C5E" w:rsidP="00127C5E">
            <w:pPr>
              <w:spacing w:before="120"/>
              <w:rPr>
                <w:sz w:val="18"/>
              </w:rPr>
            </w:pPr>
            <w:r w:rsidRPr="00127C5E">
              <w:rPr>
                <w:sz w:val="18"/>
              </w:rPr>
              <w:t>Aquel contribuyente que ya cancelo la obligación tributaria, y queda pendiente de pago solo las costas procesales y gastos administrativos coactivos, podrá acogerse automáticamente al presente beneficio.</w:t>
            </w:r>
          </w:p>
        </w:tc>
      </w:tr>
    </w:tbl>
    <w:p w14:paraId="6E426B15" w14:textId="02805EA2" w:rsidR="00127C5E" w:rsidRPr="00127C5E" w:rsidRDefault="00127C5E" w:rsidP="00E96E87">
      <w:pPr>
        <w:spacing w:before="120"/>
        <w:rPr>
          <w:sz w:val="24"/>
        </w:rPr>
      </w:pPr>
      <w:r w:rsidRPr="00127C5E">
        <w:rPr>
          <w:sz w:val="24"/>
        </w:rPr>
        <w:t>Artículo Segundo.- Declarar que permanecen invariables los demás artículos de las Ordenanza N.° 255 y 261-2025-MDMM, no modificados en la presente ordenanza.</w:t>
      </w:r>
    </w:p>
    <w:p w14:paraId="06A65F69" w14:textId="77777777" w:rsidR="00127C5E" w:rsidRPr="00127C5E" w:rsidRDefault="00127C5E" w:rsidP="00E96E87">
      <w:pPr>
        <w:spacing w:before="120"/>
        <w:rPr>
          <w:sz w:val="24"/>
        </w:rPr>
      </w:pPr>
      <w:r w:rsidRPr="00127C5E">
        <w:rPr>
          <w:sz w:val="24"/>
        </w:rPr>
        <w:t>Artículo Tercero.- Dejar sin efecto el artículo segundo de la Ordenanza N.° 261-2025-MDMM, así como toda norma de la misma o inferior jerarquía, que se oponga a lo dispuesto en la presente ordenanza.</w:t>
      </w:r>
    </w:p>
    <w:p w14:paraId="797DF910" w14:textId="247C3004" w:rsidR="00127C5E" w:rsidRPr="00127C5E" w:rsidRDefault="00127C5E" w:rsidP="00E96E87">
      <w:pPr>
        <w:spacing w:before="120"/>
        <w:rPr>
          <w:sz w:val="24"/>
        </w:rPr>
      </w:pPr>
      <w:r w:rsidRPr="00127C5E">
        <w:rPr>
          <w:sz w:val="24"/>
        </w:rPr>
        <w:t>Artículo Cuarto.- Encargar a la Gerencia de Administración Tributaria, a través de sus órganos técnicos: Subgerencia de Registro, Orientación al Contribuyente y Fiscalización Tributaria; Subgerencia de Recaudación Tributaria; y Subgerencia de Ejecución Coactiva; así como a la Oficina General de Administración a través de sus órganos técnicos: Oficina de Tecnología de la Información, Oficina de Tesorería, el cumplimiento de la presente Ordenanza.</w:t>
      </w:r>
    </w:p>
    <w:p w14:paraId="524962EC" w14:textId="06A8897D" w:rsidR="00127C5E" w:rsidRPr="00127C5E" w:rsidRDefault="00127C5E" w:rsidP="00E96E87">
      <w:pPr>
        <w:spacing w:before="120"/>
        <w:rPr>
          <w:sz w:val="24"/>
        </w:rPr>
      </w:pPr>
      <w:r w:rsidRPr="00127C5E">
        <w:rPr>
          <w:sz w:val="24"/>
        </w:rPr>
        <w:t>Artículo Quinto.- Disponer la publicación de la presente ordenanza en el Diario Oficial El Peruano</w:t>
      </w:r>
      <w:r w:rsidR="00E96E87">
        <w:rPr>
          <w:sz w:val="24"/>
        </w:rPr>
        <w:t xml:space="preserve"> </w:t>
      </w:r>
      <w:r w:rsidRPr="00127C5E">
        <w:rPr>
          <w:sz w:val="24"/>
        </w:rPr>
        <w:t>y en la Plataforma Digital Única del Estado Peruano (www.gob.pe).</w:t>
      </w:r>
    </w:p>
    <w:p w14:paraId="0B474063" w14:textId="77777777" w:rsidR="00127C5E" w:rsidRPr="00127C5E" w:rsidRDefault="00127C5E" w:rsidP="00E96E87">
      <w:pPr>
        <w:spacing w:before="120"/>
        <w:rPr>
          <w:sz w:val="24"/>
        </w:rPr>
      </w:pPr>
      <w:r w:rsidRPr="00127C5E">
        <w:rPr>
          <w:sz w:val="24"/>
        </w:rPr>
        <w:t>Regístrese, comuníquese, publíquese y cúmplase.</w:t>
      </w:r>
    </w:p>
    <w:p w14:paraId="115E21AC" w14:textId="3A992FFA" w:rsidR="00127C5E" w:rsidRPr="00127C5E" w:rsidRDefault="00127C5E" w:rsidP="00E96E87">
      <w:pPr>
        <w:spacing w:before="120"/>
        <w:rPr>
          <w:sz w:val="24"/>
        </w:rPr>
      </w:pPr>
      <w:r w:rsidRPr="00127C5E">
        <w:rPr>
          <w:sz w:val="24"/>
        </w:rPr>
        <w:t>Francis James Allison Oyague</w:t>
      </w:r>
    </w:p>
    <w:p w14:paraId="2C9B3E13" w14:textId="21D26A7B" w:rsidR="002017D0" w:rsidRDefault="00127C5E" w:rsidP="00E96E87">
      <w:pPr>
        <w:spacing w:before="120"/>
      </w:pPr>
      <w:r w:rsidRPr="00127C5E">
        <w:rPr>
          <w:sz w:val="24"/>
        </w:rPr>
        <w:t>Alcalde</w:t>
      </w:r>
    </w:p>
    <w:p w14:paraId="1990B85B" w14:textId="108A1CF3" w:rsidR="00127C5E" w:rsidRDefault="00127C5E" w:rsidP="00E96E87">
      <w:pPr>
        <w:spacing w:before="120"/>
        <w:jc w:val="center"/>
      </w:pPr>
      <w:r w:rsidRPr="00127C5E">
        <w:t>Documento publicado en el Diario Oficial “El Peruano” el 3 de setiembre del 2025.</w:t>
      </w:r>
    </w:p>
    <w:sectPr w:rsidR="00127C5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5751D" w14:textId="77777777" w:rsidR="00B72C69" w:rsidRDefault="00B72C69" w:rsidP="00127C5E">
      <w:r>
        <w:separator/>
      </w:r>
    </w:p>
  </w:endnote>
  <w:endnote w:type="continuationSeparator" w:id="0">
    <w:p w14:paraId="053A7168" w14:textId="77777777" w:rsidR="00B72C69" w:rsidRDefault="00B72C69" w:rsidP="0012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6F7BD" w14:textId="033DFD6D" w:rsidR="00127C5E" w:rsidRPr="001028F8" w:rsidRDefault="00127C5E" w:rsidP="001028F8">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63E2544E" wp14:editId="5618C39A">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7DDF0" w14:textId="77777777" w:rsidR="00B72C69" w:rsidRDefault="00B72C69" w:rsidP="00127C5E">
      <w:r>
        <w:separator/>
      </w:r>
    </w:p>
  </w:footnote>
  <w:footnote w:type="continuationSeparator" w:id="0">
    <w:p w14:paraId="737C536E" w14:textId="77777777" w:rsidR="00B72C69" w:rsidRDefault="00B72C69" w:rsidP="00127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F43FF" w14:textId="11E9971D" w:rsidR="00127C5E" w:rsidRDefault="00127C5E" w:rsidP="001028F8">
    <w:pPr>
      <w:pStyle w:val="Encabezado"/>
      <w:spacing w:after="240"/>
    </w:pPr>
    <w:r>
      <w:rPr>
        <w:noProof/>
        <w:lang w:eastAsia="es-PE"/>
      </w:rPr>
      <w:drawing>
        <wp:inline distT="0" distB="0" distL="0" distR="0" wp14:anchorId="0AC5FE07" wp14:editId="6CE7C125">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C5E"/>
    <w:rsid w:val="0002405D"/>
    <w:rsid w:val="000526BE"/>
    <w:rsid w:val="00096CEC"/>
    <w:rsid w:val="001028F8"/>
    <w:rsid w:val="00127C5E"/>
    <w:rsid w:val="00133291"/>
    <w:rsid w:val="002017D0"/>
    <w:rsid w:val="00580259"/>
    <w:rsid w:val="00615327"/>
    <w:rsid w:val="007F0EA7"/>
    <w:rsid w:val="008066EB"/>
    <w:rsid w:val="008F2267"/>
    <w:rsid w:val="00AA3083"/>
    <w:rsid w:val="00B72C69"/>
    <w:rsid w:val="00BB3261"/>
    <w:rsid w:val="00C32D53"/>
    <w:rsid w:val="00D361DE"/>
    <w:rsid w:val="00D52B8C"/>
    <w:rsid w:val="00E96E87"/>
    <w:rsid w:val="00EB5F23"/>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127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27C5E"/>
    <w:pPr>
      <w:tabs>
        <w:tab w:val="center" w:pos="4252"/>
        <w:tab w:val="right" w:pos="8504"/>
      </w:tabs>
    </w:pPr>
  </w:style>
  <w:style w:type="character" w:customStyle="1" w:styleId="EncabezadoCar">
    <w:name w:val="Encabezado Car"/>
    <w:basedOn w:val="Fuentedeprrafopredeter"/>
    <w:link w:val="Encabezado"/>
    <w:uiPriority w:val="99"/>
    <w:rsid w:val="00127C5E"/>
    <w:rPr>
      <w:rFonts w:ascii="Arial" w:hAnsi="Arial"/>
      <w:sz w:val="20"/>
    </w:rPr>
  </w:style>
  <w:style w:type="paragraph" w:styleId="Piedepgina">
    <w:name w:val="footer"/>
    <w:basedOn w:val="Normal"/>
    <w:link w:val="PiedepginaCar"/>
    <w:uiPriority w:val="99"/>
    <w:unhideWhenUsed/>
    <w:rsid w:val="00127C5E"/>
    <w:pPr>
      <w:tabs>
        <w:tab w:val="center" w:pos="4252"/>
        <w:tab w:val="right" w:pos="8504"/>
      </w:tabs>
    </w:pPr>
  </w:style>
  <w:style w:type="character" w:customStyle="1" w:styleId="PiedepginaCar">
    <w:name w:val="Pie de página Car"/>
    <w:basedOn w:val="Fuentedeprrafopredeter"/>
    <w:link w:val="Piedepgina"/>
    <w:uiPriority w:val="99"/>
    <w:rsid w:val="00127C5E"/>
    <w:rPr>
      <w:rFonts w:ascii="Arial" w:hAnsi="Arial"/>
      <w:sz w:val="20"/>
    </w:rPr>
  </w:style>
  <w:style w:type="paragraph" w:styleId="Textodeglobo">
    <w:name w:val="Balloon Text"/>
    <w:basedOn w:val="Normal"/>
    <w:link w:val="TextodegloboCar"/>
    <w:uiPriority w:val="99"/>
    <w:semiHidden/>
    <w:unhideWhenUsed/>
    <w:rsid w:val="00102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8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127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27C5E"/>
    <w:pPr>
      <w:tabs>
        <w:tab w:val="center" w:pos="4252"/>
        <w:tab w:val="right" w:pos="8504"/>
      </w:tabs>
    </w:pPr>
  </w:style>
  <w:style w:type="character" w:customStyle="1" w:styleId="EncabezadoCar">
    <w:name w:val="Encabezado Car"/>
    <w:basedOn w:val="Fuentedeprrafopredeter"/>
    <w:link w:val="Encabezado"/>
    <w:uiPriority w:val="99"/>
    <w:rsid w:val="00127C5E"/>
    <w:rPr>
      <w:rFonts w:ascii="Arial" w:hAnsi="Arial"/>
      <w:sz w:val="20"/>
    </w:rPr>
  </w:style>
  <w:style w:type="paragraph" w:styleId="Piedepgina">
    <w:name w:val="footer"/>
    <w:basedOn w:val="Normal"/>
    <w:link w:val="PiedepginaCar"/>
    <w:uiPriority w:val="99"/>
    <w:unhideWhenUsed/>
    <w:rsid w:val="00127C5E"/>
    <w:pPr>
      <w:tabs>
        <w:tab w:val="center" w:pos="4252"/>
        <w:tab w:val="right" w:pos="8504"/>
      </w:tabs>
    </w:pPr>
  </w:style>
  <w:style w:type="character" w:customStyle="1" w:styleId="PiedepginaCar">
    <w:name w:val="Pie de página Car"/>
    <w:basedOn w:val="Fuentedeprrafopredeter"/>
    <w:link w:val="Piedepgina"/>
    <w:uiPriority w:val="99"/>
    <w:rsid w:val="00127C5E"/>
    <w:rPr>
      <w:rFonts w:ascii="Arial" w:hAnsi="Arial"/>
      <w:sz w:val="20"/>
    </w:rPr>
  </w:style>
  <w:style w:type="paragraph" w:styleId="Textodeglobo">
    <w:name w:val="Balloon Text"/>
    <w:basedOn w:val="Normal"/>
    <w:link w:val="TextodegloboCar"/>
    <w:uiPriority w:val="99"/>
    <w:semiHidden/>
    <w:unhideWhenUsed/>
    <w:rsid w:val="00102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8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1083</Words>
  <Characters>5958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3</cp:revision>
  <dcterms:created xsi:type="dcterms:W3CDTF">2025-09-03T16:59:00Z</dcterms:created>
  <dcterms:modified xsi:type="dcterms:W3CDTF">2025-09-03T21:05:00Z</dcterms:modified>
</cp:coreProperties>
</file>