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AEAB7" w14:textId="3EBB4BCB" w:rsidR="000554C5" w:rsidRPr="000554C5" w:rsidRDefault="000554C5" w:rsidP="004C5F65">
      <w:pPr>
        <w:spacing w:before="120"/>
        <w:jc w:val="center"/>
        <w:rPr>
          <w:b/>
          <w:bCs/>
          <w:sz w:val="24"/>
        </w:rPr>
      </w:pPr>
      <w:bookmarkStart w:id="0" w:name="_GoBack"/>
      <w:bookmarkEnd w:id="0"/>
      <w:r w:rsidRPr="000554C5">
        <w:rPr>
          <w:b/>
          <w:bCs/>
          <w:sz w:val="24"/>
        </w:rPr>
        <w:t xml:space="preserve">Crean el </w:t>
      </w:r>
      <w:r w:rsidR="004C5F65">
        <w:rPr>
          <w:b/>
          <w:bCs/>
          <w:sz w:val="24"/>
        </w:rPr>
        <w:t>"</w:t>
      </w:r>
      <w:r w:rsidRPr="000554C5">
        <w:rPr>
          <w:b/>
          <w:bCs/>
          <w:sz w:val="24"/>
        </w:rPr>
        <w:t xml:space="preserve">Grupo de </w:t>
      </w:r>
      <w:r w:rsidR="004C5F65" w:rsidRPr="000554C5">
        <w:rPr>
          <w:b/>
          <w:bCs/>
          <w:sz w:val="24"/>
        </w:rPr>
        <w:t xml:space="preserve">trabajo </w:t>
      </w:r>
      <w:r w:rsidRPr="000554C5">
        <w:rPr>
          <w:b/>
          <w:bCs/>
          <w:sz w:val="24"/>
        </w:rPr>
        <w:t>para la actualización de la Norma Técnica TH.030 Habilitaciones Industriales del Reglamento Nacional de Edificaciones</w:t>
      </w:r>
      <w:r w:rsidR="004C5F65">
        <w:rPr>
          <w:b/>
          <w:bCs/>
          <w:sz w:val="24"/>
        </w:rPr>
        <w:t>"</w:t>
      </w:r>
    </w:p>
    <w:p w14:paraId="442563A6" w14:textId="5D3E3560" w:rsidR="000554C5" w:rsidRPr="000554C5" w:rsidRDefault="000554C5" w:rsidP="004C5F65">
      <w:pPr>
        <w:spacing w:before="120"/>
        <w:jc w:val="center"/>
        <w:rPr>
          <w:b/>
          <w:bCs/>
          <w:sz w:val="24"/>
        </w:rPr>
      </w:pPr>
      <w:r w:rsidRPr="000554C5">
        <w:rPr>
          <w:b/>
          <w:bCs/>
          <w:sz w:val="24"/>
        </w:rPr>
        <w:t>Resolución Ministerial N.° 199-2025-Vivienda</w:t>
      </w:r>
    </w:p>
    <w:p w14:paraId="0AB4069D" w14:textId="4C5281D8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>Lima, 11 de agosto del 2025</w:t>
      </w:r>
    </w:p>
    <w:p w14:paraId="20C365BD" w14:textId="7972427D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>Vistos:</w:t>
      </w:r>
    </w:p>
    <w:p w14:paraId="69CF3DBC" w14:textId="7E85D50E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>La Nota N.° 242-2025-Vivienda/VMVU-DGPRVU de la Dirección General de Políticas y Regulación en Vivienda y Urbanismo, que contiene el Informe Técnico-Legal N.° 025-2025-Vivienda/VMVU-DGPRVU DV-JJLL-KCG de la Dirección de Vivienda; el Oficio N.° 00000038-2025-PRODUCE/DGPAR de la Dirección General de Políticas y Análisis Regulatorio del Ministerio de la Producción; la Carta N.° 0162-2025-GN-CAP del Colegio de Arquitectos del Perú; el Memorando N.° 1180-2025-Vivienda/SG-OGPP de la Oficina General de Planeamiento y Presupuesto; el Informe N.° 257-2025-Vivienda/OGPP-OPM de la Oficina de Planeamiento y Modernización; el Informe N.° 596-2025-Vivienda/SG-OGAJ de la Oficina General de Asesoría Jurídica; y,</w:t>
      </w:r>
    </w:p>
    <w:p w14:paraId="2701D5DD" w14:textId="53FDFC22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>Considerando:</w:t>
      </w:r>
    </w:p>
    <w:p w14:paraId="333A72D1" w14:textId="10776B7B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>Que, el numeral 22.2 del artículo 22 de la Ley N.° 29158, Ley Orgánica del Poder Ejecutivo, dispone que los Ministerios diseñan, establecen, ejecutan y supervisan políticas nacionales y sectoriales, asumiendo la rectoría respecto de ellas;</w:t>
      </w:r>
    </w:p>
    <w:p w14:paraId="724CB869" w14:textId="15B3BBB0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>Que, los artículos 5° y 6° de la Ley N.° 30156, Ley de Organización y Funciones del Ministerio de Vivienda, Construcción y Saneamiento, establecen que este Ministerio tiene competencias, entre otras materias, en vivienda, construcción, urbanismo y desarrollo urbano; y es el órgano rector de las políticas nacionales y sectoriales dentro del ámbito de su competencia, que son de obligatorio cumplimiento por los tres niveles de gobierno en el marco del proceso de descentralización, y en todo el territorio nacional; asimismo, tiene entre sus competencias exclusivas, dictar normas y lineamientos técnicos para la adecuada ejecución y supervisión de las políticas nacionales y sectoriales;</w:t>
      </w:r>
    </w:p>
    <w:p w14:paraId="6286EC14" w14:textId="2D1FE27D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>Que, el artículo 28 de los Lineamientos de Organización del Estado, aprobados por el Decreto Supremo N.° 054-2018-PCM, establece que los grupos de trabajo son un tipo de órgano colegiado sin personera jurídica ni administración propia, que se crean para cumplir funciones distintas a las de seguimiento, fiscalización, propuesta o emisión de informes técnicos, tales como la elaboración de propuestas normativas, instrumentos, entre otros productos específicos; sus conclusiones carecen de efectos jurídicos sobre terceros; pueden ser sectoriales o multisectoriales, y se aprueban mediante resolución ministerial del ministerio del cual depende; correspondiendo a la Oficina General de Asesoría Jurídica o la que haga sus veces y a la Oficina General de Planeamiento y Presupuesto o la que haga sus veces, validar la legalidad y sustento técnico para su creación, respectivamente;</w:t>
      </w:r>
    </w:p>
    <w:p w14:paraId="572E133A" w14:textId="1FCD8850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>Que, asimismo, el citado artículo dispone que pueden participar en calidad de integrantes de</w:t>
      </w:r>
      <w:r w:rsidR="004C5F65" w:rsidRPr="000554C5">
        <w:rPr>
          <w:sz w:val="24"/>
        </w:rPr>
        <w:t>l grupo de trabajo representa</w:t>
      </w:r>
      <w:r w:rsidRPr="000554C5">
        <w:rPr>
          <w:sz w:val="24"/>
        </w:rPr>
        <w:t xml:space="preserve">ntes de otros poderes del Estado, niveles de gobierno y organismos constitucionalmente autónomos, previa </w:t>
      </w:r>
      <w:r w:rsidRPr="000554C5">
        <w:rPr>
          <w:sz w:val="24"/>
        </w:rPr>
        <w:lastRenderedPageBreak/>
        <w:t>conformidad de su máxima autoridad; así como representantes acreditados de la sociedad civil, academia, gremios empresariales, entre otros, siempre que su participación se vincule y contribuya al objeto d</w:t>
      </w:r>
      <w:r w:rsidR="004C5F65" w:rsidRPr="000554C5">
        <w:rPr>
          <w:sz w:val="24"/>
        </w:rPr>
        <w:t>el grupo de trabajo; la resolución ministerial que aprueba la creación de un grupo de tra</w:t>
      </w:r>
      <w:r w:rsidRPr="000554C5">
        <w:rPr>
          <w:sz w:val="24"/>
        </w:rPr>
        <w:t>bajo, cuya conformación incluya representantes de más de un sector o que no forman parte del Poder Ejecutivo, contiene un considerando en el que se precisa que se cuenta con el consentimiento de las entidades públicas o privadas representad</w:t>
      </w:r>
      <w:r w:rsidR="004C5F65" w:rsidRPr="000554C5">
        <w:rPr>
          <w:sz w:val="24"/>
        </w:rPr>
        <w:t>as en el grupo de trabajo;</w:t>
      </w:r>
    </w:p>
    <w:p w14:paraId="4C675EA3" w14:textId="6704FFD7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>Que, por el Decreto Supremo N.° 015-2004-Vivienda, se aprueba el Índice y la Estructura del Reglamento Nacional de Edificaciones, norma rectora que establece las disposiciones aplicables a nivel nacional para regular el diseño, construcción, uso y mantenimiento de las habilitaciones urbanas y edificaciones; asimismo, a través del Decreto Supremo N.° 011-2006-Vivienda, se aprueban sesenta y seis (66) Normas Técnicas del Reglamento Nacional de Edificaciones, comprendidas en el referido Índice, dentro de las cuales se encuentra la Norma Técnica TH.030 Habilitaciones Industriales;</w:t>
      </w:r>
    </w:p>
    <w:p w14:paraId="72CBE010" w14:textId="14EA1F03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 xml:space="preserve">Que, en el marco de las normas citadas precedentemente, mediante la Nota N.° 242-2025-Vivienda/VMVU-DGPRVU y el Informe Técnico-Legal N.° 025-2025-Vivienda/VMVU-DGPRVU DV-JJLL-KCG, la Dirección General de Políticas y Regulación en Vivienda y Urbanismo (DGPRVU) sustenta y propone la creación de un Grupo de Trabajo Multisectorial, de naturaleza temporal, dependiente del Ministerio de Vivienda, Construcción y Saneamiento, denominado </w:t>
      </w:r>
      <w:r w:rsidR="004C5F65">
        <w:rPr>
          <w:sz w:val="24"/>
        </w:rPr>
        <w:t>"</w:t>
      </w:r>
      <w:r w:rsidRPr="000554C5">
        <w:rPr>
          <w:sz w:val="24"/>
        </w:rPr>
        <w:t xml:space="preserve">Grupo de </w:t>
      </w:r>
      <w:r w:rsidR="004C5F65" w:rsidRPr="000554C5">
        <w:rPr>
          <w:sz w:val="24"/>
        </w:rPr>
        <w:t xml:space="preserve">trabajo </w:t>
      </w:r>
      <w:r w:rsidRPr="000554C5">
        <w:rPr>
          <w:sz w:val="24"/>
        </w:rPr>
        <w:t>para la actualización de la Norma Técnica TH.030 Habilitaciones Industriales del Reglamento Nacional de Edificaciones</w:t>
      </w:r>
      <w:r w:rsidR="004C5F65">
        <w:rPr>
          <w:sz w:val="24"/>
        </w:rPr>
        <w:t>"</w:t>
      </w:r>
      <w:r w:rsidRPr="000554C5">
        <w:rPr>
          <w:sz w:val="24"/>
        </w:rPr>
        <w:t>, a fin de adecuar dicha norma técnica a los nuevos conceptos urbanísticos, a la implementación de las políticas nacionales y a los avances tecnológicos, que buscan mejorar las condiciones de habitabilidad de las ciudades y centros poblados a nivel nacional; así como a la Política Nacional de Vivienda y Urbanismo, con horizonte temporal al 2030, aprobada por el Decreto Supremo N.° 012-2021-Vivienda;</w:t>
      </w:r>
    </w:p>
    <w:p w14:paraId="7B70C4E9" w14:textId="5CD1CB94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 xml:space="preserve">Que, además, según los anexos de los documentos citados en el considerando precedente, mediante el Oficio N.° 00000038-2025-PRODUCE/DGPAR y la Carta N.° 0162-2025-GN-CAP, la Dirección General de Políticas y Análisis Regulatorio del Ministerio de la Producción y el Colegio de Arquitectos del Perú, respectivamente, manifiestan su consentimiento para que sus representantes participen en el </w:t>
      </w:r>
      <w:r w:rsidR="004C5F65" w:rsidRPr="000554C5">
        <w:rPr>
          <w:sz w:val="24"/>
        </w:rPr>
        <w:t>referido grupo de trabajo multisectorial;</w:t>
      </w:r>
    </w:p>
    <w:p w14:paraId="7D8FBF08" w14:textId="2F7A31C7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 xml:space="preserve">Que, mediante el Memorando N.° 1180-2025-Vivienda/SG-OGPP, sustentado en el Informe N.° 257-2025-Vivienda/OGPP-OPM de la Oficina de Planeamiento y Modernización, la Oficina General de Planeamiento y Presupuesto emite opinión favorable respecto a la </w:t>
      </w:r>
      <w:r w:rsidR="004C5F65" w:rsidRPr="000554C5">
        <w:rPr>
          <w:sz w:val="24"/>
        </w:rPr>
        <w:t>creación del grupo de trabajo multisectorial prop</w:t>
      </w:r>
      <w:r w:rsidRPr="000554C5">
        <w:rPr>
          <w:sz w:val="24"/>
        </w:rPr>
        <w:t>uesto por la DGPRVU;</w:t>
      </w:r>
    </w:p>
    <w:p w14:paraId="3FC5B7DA" w14:textId="1027F705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>Que, con el Informe N.° 596-2025-Vivienda/SG-OGAJ, la Oficina General de Asesoría Jurídica emite opinión favorable a la propuesta de creación del menciona</w:t>
      </w:r>
      <w:r w:rsidR="004C5F65" w:rsidRPr="000554C5">
        <w:rPr>
          <w:sz w:val="24"/>
        </w:rPr>
        <w:t>do grupo de trabajo multisectorial, ef</w:t>
      </w:r>
      <w:r w:rsidRPr="000554C5">
        <w:rPr>
          <w:sz w:val="24"/>
        </w:rPr>
        <w:t>ectuada por la DGPRVU;</w:t>
      </w:r>
    </w:p>
    <w:p w14:paraId="4CD5EBA9" w14:textId="04E76210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 xml:space="preserve">De conformidad con lo dispuesto en la Ley N.° 29158, Ley Orgánica del Poder Ejecutivo, y modificatorias; la Ley N.° 30156, Ley de Organización y Funciones </w:t>
      </w:r>
      <w:r w:rsidRPr="000554C5">
        <w:rPr>
          <w:sz w:val="24"/>
        </w:rPr>
        <w:lastRenderedPageBreak/>
        <w:t>del Ministerio de Vivienda, Construcción y Saneamiento, y modificatoria; el Reglamento de Organización y Funciones del Ministerio de Vivienda, Construcción y Saneamiento, aprobado por el Decreto Supremo N.° 010-2014-Vivienda y modificatoria; y, los Lineamientos de Organización del Estado, aprobados por el Decreto Supremo N.° 054-2018-PCM, y modificatorias;</w:t>
      </w:r>
    </w:p>
    <w:p w14:paraId="3B0B007A" w14:textId="6ACEC10D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>Se resuelve:</w:t>
      </w:r>
    </w:p>
    <w:p w14:paraId="747C0F99" w14:textId="5ECE9257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 xml:space="preserve">Artículo 1°.- </w:t>
      </w:r>
      <w:r w:rsidRPr="000554C5">
        <w:rPr>
          <w:b/>
          <w:bCs/>
          <w:sz w:val="24"/>
        </w:rPr>
        <w:t xml:space="preserve">Creación del </w:t>
      </w:r>
      <w:r w:rsidR="004C5F65" w:rsidRPr="000554C5">
        <w:rPr>
          <w:b/>
          <w:bCs/>
          <w:sz w:val="24"/>
        </w:rPr>
        <w:t>grupo de traba</w:t>
      </w:r>
      <w:r w:rsidRPr="000554C5">
        <w:rPr>
          <w:b/>
          <w:bCs/>
          <w:sz w:val="24"/>
        </w:rPr>
        <w:t xml:space="preserve">jo. </w:t>
      </w:r>
      <w:r w:rsidRPr="000554C5">
        <w:rPr>
          <w:sz w:val="24"/>
        </w:rPr>
        <w:t xml:space="preserve">Crear el </w:t>
      </w:r>
      <w:r w:rsidR="004C5F65" w:rsidRPr="000554C5">
        <w:rPr>
          <w:sz w:val="24"/>
        </w:rPr>
        <w:t>grupo de trabajo multisectorial, de naturaleza temporal, dependien</w:t>
      </w:r>
      <w:r w:rsidRPr="000554C5">
        <w:rPr>
          <w:sz w:val="24"/>
        </w:rPr>
        <w:t xml:space="preserve">te del Ministerio de Vivienda, Construcción y Saneamiento, denominado </w:t>
      </w:r>
      <w:r w:rsidR="004C5F65">
        <w:rPr>
          <w:sz w:val="24"/>
        </w:rPr>
        <w:t>"</w:t>
      </w:r>
      <w:r w:rsidRPr="000554C5">
        <w:rPr>
          <w:sz w:val="24"/>
        </w:rPr>
        <w:t xml:space="preserve">Grupo de </w:t>
      </w:r>
      <w:r w:rsidR="004C5F65" w:rsidRPr="000554C5">
        <w:rPr>
          <w:sz w:val="24"/>
        </w:rPr>
        <w:t xml:space="preserve">trabajo </w:t>
      </w:r>
      <w:r w:rsidRPr="000554C5">
        <w:rPr>
          <w:sz w:val="24"/>
        </w:rPr>
        <w:t>para la actualización de la Norma Técnica TH.030 Habilitaciones Industriales del Reglamento Nacional de Edificaciones</w:t>
      </w:r>
      <w:r w:rsidR="004C5F65">
        <w:rPr>
          <w:sz w:val="24"/>
        </w:rPr>
        <w:t>"</w:t>
      </w:r>
      <w:r w:rsidRPr="000554C5">
        <w:rPr>
          <w:sz w:val="24"/>
        </w:rPr>
        <w:t xml:space="preserve"> (en adelante, </w:t>
      </w:r>
      <w:r w:rsidR="004C5F65" w:rsidRPr="000554C5">
        <w:rPr>
          <w:sz w:val="24"/>
        </w:rPr>
        <w:t>grupo de trabajo).</w:t>
      </w:r>
    </w:p>
    <w:p w14:paraId="3388262A" w14:textId="0C7438C0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 xml:space="preserve">Artículo 2°.- </w:t>
      </w:r>
      <w:r w:rsidRPr="000554C5">
        <w:rPr>
          <w:b/>
          <w:bCs/>
          <w:sz w:val="24"/>
        </w:rPr>
        <w:t xml:space="preserve">Objeto. </w:t>
      </w:r>
      <w:r w:rsidRPr="000554C5">
        <w:rPr>
          <w:sz w:val="24"/>
        </w:rPr>
        <w:t xml:space="preserve">El </w:t>
      </w:r>
      <w:r w:rsidR="004C5F65" w:rsidRPr="000554C5">
        <w:rPr>
          <w:sz w:val="24"/>
        </w:rPr>
        <w:t xml:space="preserve">grupo de trabajo tiene por </w:t>
      </w:r>
      <w:r w:rsidRPr="000554C5">
        <w:rPr>
          <w:sz w:val="24"/>
        </w:rPr>
        <w:t>objeto la elaboración de la propuesta de actualización de la Norma Técnica TH.030 Habilitaciones Industriales del Reglamento Nacional de Edificaciones.</w:t>
      </w:r>
    </w:p>
    <w:p w14:paraId="1C34BABB" w14:textId="054643F0" w:rsidR="000554C5" w:rsidRPr="000554C5" w:rsidRDefault="000554C5" w:rsidP="004C5F65">
      <w:pPr>
        <w:spacing w:before="120"/>
        <w:rPr>
          <w:b/>
          <w:bCs/>
          <w:sz w:val="24"/>
        </w:rPr>
      </w:pPr>
      <w:r w:rsidRPr="000554C5">
        <w:rPr>
          <w:sz w:val="24"/>
        </w:rPr>
        <w:t xml:space="preserve">Artículo 3°.- </w:t>
      </w:r>
      <w:r w:rsidRPr="000554C5">
        <w:rPr>
          <w:b/>
          <w:bCs/>
          <w:sz w:val="24"/>
        </w:rPr>
        <w:t>Conformación de</w:t>
      </w:r>
      <w:r w:rsidR="004C5F65" w:rsidRPr="000554C5">
        <w:rPr>
          <w:b/>
          <w:bCs/>
          <w:sz w:val="24"/>
        </w:rPr>
        <w:t>l grupo de trabajo.</w:t>
      </w:r>
    </w:p>
    <w:p w14:paraId="5FB94E6C" w14:textId="6091528E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 xml:space="preserve">3.1 El </w:t>
      </w:r>
      <w:r w:rsidR="004C5F65" w:rsidRPr="000554C5">
        <w:rPr>
          <w:sz w:val="24"/>
        </w:rPr>
        <w:t xml:space="preserve">grupo de trabajo está </w:t>
      </w:r>
      <w:r w:rsidRPr="000554C5">
        <w:rPr>
          <w:sz w:val="24"/>
        </w:rPr>
        <w:t>conformado por:</w:t>
      </w:r>
    </w:p>
    <w:p w14:paraId="714D5C4C" w14:textId="77777777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>a) Un (1) representante del Viceministerio de Vivienda y Urbanismo, quien lo preside.</w:t>
      </w:r>
    </w:p>
    <w:p w14:paraId="48BC4C60" w14:textId="77777777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>b) Un (1) representante de la Dirección General de Políticas y Regulación en Vivienda y Urbanismo.</w:t>
      </w:r>
    </w:p>
    <w:p w14:paraId="530854BB" w14:textId="77777777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>c) Un (1) representante de la Dirección General de Políticas y Regulación en Construcción y Saneamiento.</w:t>
      </w:r>
    </w:p>
    <w:p w14:paraId="0C91C147" w14:textId="77777777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>d) Un (1) representante de la Dirección General de Políticas y Análisis Regulatorio del Ministerio de la Producción.</w:t>
      </w:r>
    </w:p>
    <w:p w14:paraId="65603619" w14:textId="77777777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>e) Un (1) representante del Colegio de Arquitectos del Perú.</w:t>
      </w:r>
    </w:p>
    <w:p w14:paraId="513E2CC2" w14:textId="0F83DD33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 xml:space="preserve">3.2 Los integrantes del </w:t>
      </w:r>
      <w:r w:rsidR="004C5F65" w:rsidRPr="000554C5">
        <w:rPr>
          <w:sz w:val="24"/>
        </w:rPr>
        <w:t>grupo de trabajo ejercen sus funciones ad honorem y cuentan con un representan</w:t>
      </w:r>
      <w:r w:rsidRPr="000554C5">
        <w:rPr>
          <w:sz w:val="24"/>
        </w:rPr>
        <w:t>te alterno, quien asiste a las reuniones en caso de ausencia del representante titular.</w:t>
      </w:r>
    </w:p>
    <w:p w14:paraId="39403F39" w14:textId="7D4A4381" w:rsidR="000554C5" w:rsidRPr="000554C5" w:rsidRDefault="000554C5" w:rsidP="004C5F65">
      <w:pPr>
        <w:spacing w:before="120"/>
        <w:rPr>
          <w:b/>
          <w:bCs/>
          <w:sz w:val="24"/>
        </w:rPr>
      </w:pPr>
      <w:r w:rsidRPr="000554C5">
        <w:rPr>
          <w:sz w:val="24"/>
        </w:rPr>
        <w:t xml:space="preserve">Artículo 4°.- </w:t>
      </w:r>
      <w:r w:rsidRPr="000554C5">
        <w:rPr>
          <w:b/>
          <w:bCs/>
          <w:sz w:val="24"/>
        </w:rPr>
        <w:t>Designación de representantes.</w:t>
      </w:r>
    </w:p>
    <w:p w14:paraId="02B36C06" w14:textId="23D8EA35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 xml:space="preserve">4.1. Los integrantes que conforman el </w:t>
      </w:r>
      <w:r w:rsidR="004C5F65" w:rsidRPr="000554C5">
        <w:rPr>
          <w:sz w:val="24"/>
        </w:rPr>
        <w:t xml:space="preserve">grupo de trabajo, así como sus representantes alternos, se acreditan ante la secretaría técnica mediante comunicación escrita, dentro del plazo máximo de cinco días hábiles, contados a partir del día siguiente de la publicación de la presente resolución ministerial </w:t>
      </w:r>
      <w:r w:rsidRPr="000554C5">
        <w:rPr>
          <w:sz w:val="24"/>
        </w:rPr>
        <w:t xml:space="preserve">en el </w:t>
      </w:r>
      <w:r w:rsidR="004C5F65" w:rsidRPr="000554C5">
        <w:rPr>
          <w:sz w:val="24"/>
        </w:rPr>
        <w:t xml:space="preserve">Diario Oficial </w:t>
      </w:r>
      <w:r w:rsidRPr="000554C5">
        <w:rPr>
          <w:sz w:val="24"/>
        </w:rPr>
        <w:t>El Peruano.</w:t>
      </w:r>
    </w:p>
    <w:p w14:paraId="1FE0C342" w14:textId="0145F757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>4.2. Las instituciones pueden modificar la designación de sus representantes, mediante comunicación escrita dirigid</w:t>
      </w:r>
      <w:r w:rsidR="004C5F65" w:rsidRPr="000554C5">
        <w:rPr>
          <w:sz w:val="24"/>
        </w:rPr>
        <w:t>a a la secretaría técnic</w:t>
      </w:r>
      <w:r w:rsidRPr="000554C5">
        <w:rPr>
          <w:sz w:val="24"/>
        </w:rPr>
        <w:t>a.</w:t>
      </w:r>
    </w:p>
    <w:p w14:paraId="51A5CF34" w14:textId="3906FF30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 xml:space="preserve">Artículo 5°.- </w:t>
      </w:r>
      <w:r w:rsidRPr="000554C5">
        <w:rPr>
          <w:b/>
          <w:bCs/>
          <w:sz w:val="24"/>
        </w:rPr>
        <w:t>Funciones de</w:t>
      </w:r>
      <w:r w:rsidR="004C5F65" w:rsidRPr="000554C5">
        <w:rPr>
          <w:b/>
          <w:bCs/>
          <w:sz w:val="24"/>
        </w:rPr>
        <w:t>l grupo de trab</w:t>
      </w:r>
      <w:r w:rsidRPr="000554C5">
        <w:rPr>
          <w:b/>
          <w:bCs/>
          <w:sz w:val="24"/>
        </w:rPr>
        <w:t xml:space="preserve">ajo. </w:t>
      </w:r>
      <w:r w:rsidRPr="000554C5">
        <w:rPr>
          <w:sz w:val="24"/>
        </w:rPr>
        <w:t xml:space="preserve">El </w:t>
      </w:r>
      <w:r w:rsidR="004C5F65" w:rsidRPr="000554C5">
        <w:rPr>
          <w:sz w:val="24"/>
        </w:rPr>
        <w:t>grupo de traba</w:t>
      </w:r>
      <w:r w:rsidRPr="000554C5">
        <w:rPr>
          <w:sz w:val="24"/>
        </w:rPr>
        <w:t>jo tiene las siguientes funciones:</w:t>
      </w:r>
    </w:p>
    <w:p w14:paraId="768A638B" w14:textId="77777777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>a) Analizar la Norma Técnica TH.030 Habilitaciones Industriales del Reglamento Nacional de Edificaciones.</w:t>
      </w:r>
    </w:p>
    <w:p w14:paraId="17017FD8" w14:textId="77777777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lastRenderedPageBreak/>
        <w:t>b) Aportar casuística y/o documentos técnicos sobre los alcances y aplicación de la Norma Técnica TH.030 Habilitaciones Industriales del Reglamento Nacional de Edificaciones.</w:t>
      </w:r>
    </w:p>
    <w:p w14:paraId="1725982B" w14:textId="77777777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>c) Elaborar la propuesta de actualización de la Norma Técnica TH.030 Habilitaciones Industriales del Reglamento Nacional de Edificaciones.</w:t>
      </w:r>
    </w:p>
    <w:p w14:paraId="51799104" w14:textId="24E4346B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 xml:space="preserve">Artículo 6°.- </w:t>
      </w:r>
      <w:r w:rsidRPr="000554C5">
        <w:rPr>
          <w:b/>
          <w:bCs/>
          <w:sz w:val="24"/>
        </w:rPr>
        <w:t xml:space="preserve">Secretaría </w:t>
      </w:r>
      <w:r w:rsidR="004C5F65" w:rsidRPr="000554C5">
        <w:rPr>
          <w:b/>
          <w:bCs/>
          <w:sz w:val="24"/>
        </w:rPr>
        <w:t>técnica</w:t>
      </w:r>
      <w:r w:rsidRPr="000554C5">
        <w:rPr>
          <w:b/>
          <w:bCs/>
          <w:sz w:val="24"/>
        </w:rPr>
        <w:t xml:space="preserve">. </w:t>
      </w:r>
      <w:r w:rsidRPr="000554C5">
        <w:rPr>
          <w:sz w:val="24"/>
        </w:rPr>
        <w:t xml:space="preserve">La </w:t>
      </w:r>
      <w:r w:rsidR="004C5F65" w:rsidRPr="000554C5">
        <w:rPr>
          <w:sz w:val="24"/>
        </w:rPr>
        <w:t xml:space="preserve">secretaría técnica del grupo de trabajo </w:t>
      </w:r>
      <w:r w:rsidRPr="000554C5">
        <w:rPr>
          <w:sz w:val="24"/>
        </w:rPr>
        <w:t>está a cargo de la Dirección de Vivienda de la Dirección General de Políticas y Regulación en Vivienda y Urbanismo del Ministerio de Vivienda, Construcción y Saneamiento, la que ejecuta las disposiciones q</w:t>
      </w:r>
      <w:r w:rsidR="004C5F65" w:rsidRPr="000554C5">
        <w:rPr>
          <w:sz w:val="24"/>
        </w:rPr>
        <w:t xml:space="preserve">ue acuerde el grupo de trabajo, reporta periódicamente a la presidencia del grupo de trabajo y </w:t>
      </w:r>
      <w:r w:rsidRPr="000554C5">
        <w:rPr>
          <w:sz w:val="24"/>
        </w:rPr>
        <w:t>es responsable de convocar a reuniones, llevar el registro de los acuerdos y toda la documentación que se genere para el funcionamiento y cumplimiento de su objeto.</w:t>
      </w:r>
    </w:p>
    <w:p w14:paraId="2049A812" w14:textId="5457F7F9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 xml:space="preserve">Artículo 7°.- </w:t>
      </w:r>
      <w:r w:rsidRPr="000554C5">
        <w:rPr>
          <w:b/>
          <w:bCs/>
          <w:sz w:val="24"/>
        </w:rPr>
        <w:t xml:space="preserve">Instalación. </w:t>
      </w:r>
      <w:r w:rsidRPr="000554C5">
        <w:rPr>
          <w:sz w:val="24"/>
        </w:rPr>
        <w:t xml:space="preserve">El </w:t>
      </w:r>
      <w:r w:rsidR="004C5F65" w:rsidRPr="000554C5">
        <w:rPr>
          <w:sz w:val="24"/>
        </w:rPr>
        <w:t>grupo de trabajo se instal</w:t>
      </w:r>
      <w:r w:rsidRPr="000554C5">
        <w:rPr>
          <w:sz w:val="24"/>
        </w:rPr>
        <w:t>a dentro de los cinco días hábiles posteriores al vencimiento del plazo a que se refiere el artículo 4° de la presente resolución ministerial.</w:t>
      </w:r>
    </w:p>
    <w:p w14:paraId="50076EB0" w14:textId="066A912B" w:rsidR="000554C5" w:rsidRPr="000554C5" w:rsidRDefault="000554C5" w:rsidP="004C5F65">
      <w:pPr>
        <w:spacing w:before="120"/>
        <w:rPr>
          <w:b/>
          <w:bCs/>
          <w:sz w:val="24"/>
        </w:rPr>
      </w:pPr>
      <w:r w:rsidRPr="000554C5">
        <w:rPr>
          <w:sz w:val="24"/>
        </w:rPr>
        <w:t xml:space="preserve">Artículo 8°.- </w:t>
      </w:r>
      <w:r w:rsidRPr="000554C5">
        <w:rPr>
          <w:b/>
          <w:bCs/>
          <w:sz w:val="24"/>
        </w:rPr>
        <w:t>Financiamiento.</w:t>
      </w:r>
    </w:p>
    <w:p w14:paraId="2F75B0C2" w14:textId="021B93B6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>8.1 La implementación de lo dispuesto en la presen</w:t>
      </w:r>
      <w:r w:rsidR="004C5F65" w:rsidRPr="000554C5">
        <w:rPr>
          <w:sz w:val="24"/>
        </w:rPr>
        <w:t>te resolución ministerial se</w:t>
      </w:r>
      <w:r w:rsidRPr="000554C5">
        <w:rPr>
          <w:sz w:val="24"/>
        </w:rPr>
        <w:t xml:space="preserve"> financia con cargo al presupuesto institucional de los pliegos involucrados, sin demandar recursos adicionales al Tesoro Público.</w:t>
      </w:r>
    </w:p>
    <w:p w14:paraId="27BBAC39" w14:textId="6D3A5000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>8.2 Cada pliego institucional y el colegio profesional que i</w:t>
      </w:r>
      <w:r w:rsidR="004C5F65" w:rsidRPr="000554C5">
        <w:rPr>
          <w:sz w:val="24"/>
        </w:rPr>
        <w:t>ntegran el grupo de trabajo, asume los gastos que pudiera generar el ejercicio d</w:t>
      </w:r>
      <w:r w:rsidRPr="000554C5">
        <w:rPr>
          <w:sz w:val="24"/>
        </w:rPr>
        <w:t>e las funciones de sus representantes.</w:t>
      </w:r>
    </w:p>
    <w:p w14:paraId="5BE8EE0A" w14:textId="3EB2171C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 xml:space="preserve">Artículo 9°.- </w:t>
      </w:r>
      <w:r w:rsidRPr="000554C5">
        <w:rPr>
          <w:b/>
          <w:bCs/>
          <w:sz w:val="24"/>
        </w:rPr>
        <w:t xml:space="preserve">Periodo de vigencia. </w:t>
      </w:r>
      <w:r w:rsidRPr="000554C5">
        <w:rPr>
          <w:sz w:val="24"/>
        </w:rPr>
        <w:t xml:space="preserve">El </w:t>
      </w:r>
      <w:r w:rsidR="004C5F65" w:rsidRPr="000554C5">
        <w:rPr>
          <w:sz w:val="24"/>
        </w:rPr>
        <w:t>grupo de trabajo tiene una</w:t>
      </w:r>
      <w:r w:rsidRPr="000554C5">
        <w:rPr>
          <w:sz w:val="24"/>
        </w:rPr>
        <w:t xml:space="preserve"> vigencia de ciento cuarenta días hábiles, contados a partir de la fecha de su instalación.</w:t>
      </w:r>
    </w:p>
    <w:p w14:paraId="64A04F57" w14:textId="2E388B45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 xml:space="preserve">Artículo 10.- </w:t>
      </w:r>
      <w:r w:rsidRPr="000554C5">
        <w:rPr>
          <w:b/>
          <w:bCs/>
          <w:sz w:val="24"/>
        </w:rPr>
        <w:t xml:space="preserve">Notificación. </w:t>
      </w:r>
      <w:r w:rsidRPr="000554C5">
        <w:rPr>
          <w:sz w:val="24"/>
        </w:rPr>
        <w:t>Disponer la notificación de la presente resolución ministerial a los integ</w:t>
      </w:r>
      <w:r w:rsidR="004C5F65" w:rsidRPr="000554C5">
        <w:rPr>
          <w:sz w:val="24"/>
        </w:rPr>
        <w:t>rantes del grupo de trabajo, para cono</w:t>
      </w:r>
      <w:r w:rsidRPr="000554C5">
        <w:rPr>
          <w:sz w:val="24"/>
        </w:rPr>
        <w:t>cimiento y fines pertinentes.</w:t>
      </w:r>
    </w:p>
    <w:p w14:paraId="590FE1B0" w14:textId="3A828002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 xml:space="preserve">Artículo 11.- </w:t>
      </w:r>
      <w:r w:rsidRPr="000554C5">
        <w:rPr>
          <w:b/>
          <w:bCs/>
          <w:sz w:val="24"/>
        </w:rPr>
        <w:t xml:space="preserve">Publicación. </w:t>
      </w:r>
      <w:r w:rsidRPr="000554C5">
        <w:rPr>
          <w:sz w:val="24"/>
        </w:rPr>
        <w:t>Disponer la publicación de la presente resolución ministerial en la sede digital del Ministerio de Vivienda, Construcción y Saneamiento (www.gob.pe/vivienda), el mismo día de su publicación en el Diario Oficial El Peruano.</w:t>
      </w:r>
    </w:p>
    <w:p w14:paraId="5166771A" w14:textId="77777777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>Regístrese, comuníquese y publíquese.</w:t>
      </w:r>
    </w:p>
    <w:p w14:paraId="44A1D685" w14:textId="014A0C52" w:rsidR="000554C5" w:rsidRPr="000554C5" w:rsidRDefault="000554C5" w:rsidP="004C5F65">
      <w:pPr>
        <w:spacing w:before="120"/>
        <w:rPr>
          <w:sz w:val="24"/>
        </w:rPr>
      </w:pPr>
      <w:r w:rsidRPr="000554C5">
        <w:rPr>
          <w:sz w:val="24"/>
        </w:rPr>
        <w:t>Durich Francisco Whittembury Talledo</w:t>
      </w:r>
    </w:p>
    <w:p w14:paraId="52D01893" w14:textId="56718279" w:rsidR="002017D0" w:rsidRDefault="000554C5" w:rsidP="004C5F65">
      <w:pPr>
        <w:spacing w:before="120"/>
      </w:pPr>
      <w:r w:rsidRPr="000554C5">
        <w:rPr>
          <w:sz w:val="24"/>
        </w:rPr>
        <w:t>Ministro de Vivienda, Construcción y Saneamiento</w:t>
      </w:r>
    </w:p>
    <w:p w14:paraId="0344593A" w14:textId="2F1FCEC0" w:rsidR="000554C5" w:rsidRDefault="000554C5" w:rsidP="004C5F65">
      <w:pPr>
        <w:spacing w:before="120"/>
        <w:jc w:val="center"/>
      </w:pPr>
      <w:r w:rsidRPr="000554C5">
        <w:t xml:space="preserve">Documento publicado en el Diario Oficial </w:t>
      </w:r>
      <w:r w:rsidR="004C5F65">
        <w:t>"</w:t>
      </w:r>
      <w:r w:rsidRPr="000554C5">
        <w:t>El Peruano</w:t>
      </w:r>
      <w:r w:rsidR="004C5F65">
        <w:t>"</w:t>
      </w:r>
      <w:r w:rsidRPr="000554C5">
        <w:t xml:space="preserve"> el 13 de agosto del 2025.</w:t>
      </w:r>
    </w:p>
    <w:sectPr w:rsidR="000554C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14F5A" w14:textId="77777777" w:rsidR="0057328E" w:rsidRDefault="0057328E" w:rsidP="000554C5">
      <w:r>
        <w:separator/>
      </w:r>
    </w:p>
  </w:endnote>
  <w:endnote w:type="continuationSeparator" w:id="0">
    <w:p w14:paraId="1571A7C1" w14:textId="77777777" w:rsidR="0057328E" w:rsidRDefault="0057328E" w:rsidP="0005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8B267" w14:textId="3263237D" w:rsidR="000554C5" w:rsidRPr="004C5F65" w:rsidRDefault="000554C5" w:rsidP="004C5F65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36EEB268" wp14:editId="0FB4F038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03262" w14:textId="77777777" w:rsidR="0057328E" w:rsidRDefault="0057328E" w:rsidP="000554C5">
      <w:r>
        <w:separator/>
      </w:r>
    </w:p>
  </w:footnote>
  <w:footnote w:type="continuationSeparator" w:id="0">
    <w:p w14:paraId="068B4100" w14:textId="77777777" w:rsidR="0057328E" w:rsidRDefault="0057328E" w:rsidP="00055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F9777" w14:textId="6AFD5B93" w:rsidR="000554C5" w:rsidRDefault="000554C5" w:rsidP="004C5F65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7647AB2C" wp14:editId="0BC3A0D2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4C5"/>
    <w:rsid w:val="0002405D"/>
    <w:rsid w:val="000526BE"/>
    <w:rsid w:val="000554C5"/>
    <w:rsid w:val="00096CEC"/>
    <w:rsid w:val="00133291"/>
    <w:rsid w:val="002017D0"/>
    <w:rsid w:val="004C5F65"/>
    <w:rsid w:val="0057328E"/>
    <w:rsid w:val="00580259"/>
    <w:rsid w:val="00615327"/>
    <w:rsid w:val="007F0EA7"/>
    <w:rsid w:val="008066EB"/>
    <w:rsid w:val="008F2267"/>
    <w:rsid w:val="00AA3083"/>
    <w:rsid w:val="00BB3261"/>
    <w:rsid w:val="00C32D53"/>
    <w:rsid w:val="00C9466A"/>
    <w:rsid w:val="00D361DE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68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554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54C5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554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4C5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5F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5F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554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54C5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554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4C5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5F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5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1675</Words>
  <Characters>9216</Characters>
  <Application>Microsoft Office Word</Application>
  <DocSecurity>0</DocSecurity>
  <Lines>76</Lines>
  <Paragraphs>21</Paragraphs>
  <ScaleCrop>false</ScaleCrop>
  <Company/>
  <LinksUpToDate>false</LinksUpToDate>
  <CharactersWithSpaces>10870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Carolina Herrera Pecart</cp:lastModifiedBy>
  <cp:revision>2</cp:revision>
  <dcterms:created xsi:type="dcterms:W3CDTF">2025-08-13T14:40:00Z</dcterms:created>
  <dcterms:modified xsi:type="dcterms:W3CDTF">2025-08-14T17:23:00Z</dcterms:modified>
</cp:coreProperties>
</file>