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781B6F" w14:textId="5D21ECED" w:rsidR="002E7F37" w:rsidRPr="002E7F37" w:rsidRDefault="002E7F37" w:rsidP="000D11C4">
      <w:pPr>
        <w:spacing w:before="120"/>
        <w:jc w:val="center"/>
        <w:rPr>
          <w:b/>
          <w:bCs/>
          <w:sz w:val="24"/>
        </w:rPr>
      </w:pPr>
      <w:bookmarkStart w:id="0" w:name="_GoBack"/>
      <w:bookmarkEnd w:id="0"/>
      <w:r w:rsidRPr="002E7F37">
        <w:rPr>
          <w:b/>
          <w:bCs/>
          <w:sz w:val="24"/>
        </w:rPr>
        <w:t xml:space="preserve">Modifican la Ordenanza N.° 166-2023-MDMM, que regula la provisión de estacionamientos en </w:t>
      </w:r>
      <w:r w:rsidR="000D11C4" w:rsidRPr="002E7F37">
        <w:rPr>
          <w:b/>
          <w:bCs/>
          <w:sz w:val="24"/>
        </w:rPr>
        <w:t>las áreas de tratamiento normat</w:t>
      </w:r>
      <w:r w:rsidRPr="002E7F37">
        <w:rPr>
          <w:b/>
          <w:bCs/>
          <w:sz w:val="24"/>
        </w:rPr>
        <w:t>ivo II y III del distrito de Magdalena del Mar</w:t>
      </w:r>
    </w:p>
    <w:p w14:paraId="1CF1E295" w14:textId="0A16AF12" w:rsidR="002E7F37" w:rsidRPr="002E7F37" w:rsidRDefault="002E7F37" w:rsidP="000D11C4">
      <w:pPr>
        <w:spacing w:before="120"/>
        <w:jc w:val="center"/>
        <w:rPr>
          <w:b/>
          <w:bCs/>
          <w:sz w:val="24"/>
        </w:rPr>
      </w:pPr>
      <w:r w:rsidRPr="002E7F37">
        <w:rPr>
          <w:b/>
          <w:bCs/>
          <w:sz w:val="24"/>
        </w:rPr>
        <w:t>Ordenanza N.° 269-2025-MDMM</w:t>
      </w:r>
    </w:p>
    <w:p w14:paraId="3AC78C03" w14:textId="1544DFF5" w:rsidR="002E7F37" w:rsidRPr="002E7F37" w:rsidRDefault="002E7F37" w:rsidP="000D11C4">
      <w:pPr>
        <w:spacing w:before="120"/>
        <w:rPr>
          <w:sz w:val="24"/>
        </w:rPr>
      </w:pPr>
      <w:r w:rsidRPr="002E7F37">
        <w:rPr>
          <w:sz w:val="24"/>
        </w:rPr>
        <w:t>Magdalena del Mar, 22 de julio del 2025</w:t>
      </w:r>
    </w:p>
    <w:p w14:paraId="4699552E" w14:textId="3F598FC9" w:rsidR="002E7F37" w:rsidRPr="002E7F37" w:rsidRDefault="002E7F37" w:rsidP="000D11C4">
      <w:pPr>
        <w:spacing w:before="120"/>
        <w:rPr>
          <w:sz w:val="24"/>
        </w:rPr>
      </w:pPr>
      <w:r w:rsidRPr="002E7F37">
        <w:rPr>
          <w:sz w:val="24"/>
        </w:rPr>
        <w:t>Por cuanto:</w:t>
      </w:r>
    </w:p>
    <w:p w14:paraId="036592D1" w14:textId="004C24FF" w:rsidR="002E7F37" w:rsidRPr="002E7F37" w:rsidRDefault="002E7F37" w:rsidP="000D11C4">
      <w:pPr>
        <w:spacing w:before="120"/>
        <w:rPr>
          <w:sz w:val="24"/>
        </w:rPr>
      </w:pPr>
      <w:r w:rsidRPr="002E7F37">
        <w:rPr>
          <w:sz w:val="24"/>
        </w:rPr>
        <w:t xml:space="preserve">El Concejo Municipal de Magdalena del Mar, en Sesión Ordinaria N.° 15 de la fecha, y; </w:t>
      </w:r>
      <w:r w:rsidR="000D11C4" w:rsidRPr="002E7F37">
        <w:rPr>
          <w:sz w:val="24"/>
        </w:rPr>
        <w:t>Vistos</w:t>
      </w:r>
      <w:r w:rsidRPr="002E7F37">
        <w:rPr>
          <w:sz w:val="24"/>
        </w:rPr>
        <w:t>:</w:t>
      </w:r>
    </w:p>
    <w:p w14:paraId="1A0D168C" w14:textId="5A7D26A3" w:rsidR="002E7F37" w:rsidRPr="002E7F37" w:rsidRDefault="002E7F37" w:rsidP="000D11C4">
      <w:pPr>
        <w:spacing w:before="120"/>
        <w:rPr>
          <w:sz w:val="24"/>
        </w:rPr>
      </w:pPr>
      <w:r w:rsidRPr="002E7F37">
        <w:rPr>
          <w:sz w:val="24"/>
        </w:rPr>
        <w:t xml:space="preserve">El </w:t>
      </w:r>
      <w:r w:rsidR="000D11C4" w:rsidRPr="002E7F37">
        <w:rPr>
          <w:sz w:val="24"/>
        </w:rPr>
        <w:t xml:space="preserve">Informe </w:t>
      </w:r>
      <w:r w:rsidRPr="002E7F37">
        <w:rPr>
          <w:sz w:val="24"/>
        </w:rPr>
        <w:t>N.° 196-2025-SGDT-GDTI-MDMM de la Subgerencia de Desarrollo Territorial, el Memorando N.° 262-2025-GDTI-MDMM, emitido por la Gerencia de Desarrollo Territorial e Infraestructura; el Informe N.° 460-2025-OGAJ-MDMM, emitido por la Oficina General de Asesoría Jurídica; el Memorando N.° 571-2025-GM-MDMM, emitido por la Gerencia Municipal, y;</w:t>
      </w:r>
    </w:p>
    <w:p w14:paraId="7E382AB4" w14:textId="4060FAF4" w:rsidR="002E7F37" w:rsidRPr="002E7F37" w:rsidRDefault="002E7F37" w:rsidP="000D11C4">
      <w:pPr>
        <w:spacing w:before="120"/>
        <w:rPr>
          <w:sz w:val="24"/>
        </w:rPr>
      </w:pPr>
      <w:r w:rsidRPr="002E7F37">
        <w:rPr>
          <w:sz w:val="24"/>
        </w:rPr>
        <w:t>Considerando:</w:t>
      </w:r>
    </w:p>
    <w:p w14:paraId="4E89C872" w14:textId="45AC54CF" w:rsidR="002E7F37" w:rsidRPr="002E7F37" w:rsidRDefault="002E7F37" w:rsidP="000D11C4">
      <w:pPr>
        <w:spacing w:before="120"/>
        <w:rPr>
          <w:sz w:val="24"/>
        </w:rPr>
      </w:pPr>
      <w:r w:rsidRPr="002E7F37">
        <w:rPr>
          <w:sz w:val="24"/>
        </w:rPr>
        <w:t xml:space="preserve">Que, el artículo 194 de la Constitución Política del Perú, modificado por Ley N.° 30305, concordado con el </w:t>
      </w:r>
      <w:r w:rsidR="000D11C4" w:rsidRPr="002E7F37">
        <w:rPr>
          <w:sz w:val="24"/>
        </w:rPr>
        <w:t xml:space="preserve">Artículo </w:t>
      </w:r>
      <w:r w:rsidRPr="002E7F37">
        <w:rPr>
          <w:sz w:val="24"/>
        </w:rPr>
        <w:t xml:space="preserve">II del </w:t>
      </w:r>
      <w:r w:rsidR="000D11C4" w:rsidRPr="002E7F37">
        <w:rPr>
          <w:sz w:val="24"/>
        </w:rPr>
        <w:t xml:space="preserve">Título Preliminar </w:t>
      </w:r>
      <w:r w:rsidRPr="002E7F37">
        <w:rPr>
          <w:sz w:val="24"/>
        </w:rPr>
        <w:t>de la Ley N.° 27972, Ley Orgánica de Municipalidades, establece que los gobiernos locales gozan de autonomía política, económica y administrativa en los asuntos de su competencia, potestad que radica en la facultad de ejercer actos de gobierno, administrativos y de administración, con sujeción al ordenamiento jurídico vigente;</w:t>
      </w:r>
    </w:p>
    <w:p w14:paraId="16DB92C3" w14:textId="77777777" w:rsidR="002E7F37" w:rsidRPr="002E7F37" w:rsidRDefault="002E7F37" w:rsidP="000D11C4">
      <w:pPr>
        <w:spacing w:before="120"/>
        <w:rPr>
          <w:sz w:val="24"/>
        </w:rPr>
      </w:pPr>
      <w:r w:rsidRPr="002E7F37">
        <w:rPr>
          <w:sz w:val="24"/>
        </w:rPr>
        <w:t>Que, el artículo 195, numeral 6, de nuestra Carta Magna establece además que las municipalidades son competentes para planificar el desarrollo urbano y rural de sus circunscripciones, incluyendo la zonificación, urbanismo y el acondicionamiento territorial;</w:t>
      </w:r>
    </w:p>
    <w:p w14:paraId="0099F20D" w14:textId="695562DC" w:rsidR="002E7F37" w:rsidRPr="002E7F37" w:rsidRDefault="002E7F37" w:rsidP="000D11C4">
      <w:pPr>
        <w:spacing w:before="120"/>
        <w:rPr>
          <w:sz w:val="24"/>
        </w:rPr>
      </w:pPr>
      <w:r w:rsidRPr="002E7F37">
        <w:rPr>
          <w:sz w:val="24"/>
        </w:rPr>
        <w:t>Que, adicionalmente, los artículos 73 y 79, numeral 3.1, de la mencionada Ley N.° 27972, establecen que las municipalidades poseen competencia en materia de organización del espacio físico y uso del uso, potestad que incluye el ejercicio de funciones regulatorias en zonificación, habilitación urbana, infraestructura urbana o rural básica, así como para aprobar el plan urbano o rural distrital, según corresponda, con sujeción al plan y a las normas municipales provinciales sobre la materia;</w:t>
      </w:r>
    </w:p>
    <w:p w14:paraId="2CE77A78" w14:textId="482C7DB6" w:rsidR="002E7F37" w:rsidRPr="002E7F37" w:rsidRDefault="002E7F37" w:rsidP="000D11C4">
      <w:pPr>
        <w:spacing w:before="120"/>
        <w:rPr>
          <w:sz w:val="24"/>
        </w:rPr>
      </w:pPr>
      <w:r w:rsidRPr="002E7F37">
        <w:rPr>
          <w:sz w:val="24"/>
        </w:rPr>
        <w:t>Que, la Norma A.010 Condiciones Generales de Diseño, aprobada mediante Decreto Supremo N.° 011-2006-Vivienda, que aprueba 66 Normas Técnicas del Reglamento Nacional de Edificaciones, y sus modificatorias, establece, en su artículo 51, numeral 51.1, que toda edificación debe proyectarse con una dotación mínima de estacionamientos dentro del lote en que se edifica, de acuerdo a su uso y según lo establecido en el Plan de Desarrollo Urbano;</w:t>
      </w:r>
    </w:p>
    <w:p w14:paraId="22AA45FB" w14:textId="5F03F784" w:rsidR="002E7F37" w:rsidRPr="002E7F37" w:rsidRDefault="002E7F37" w:rsidP="000D11C4">
      <w:pPr>
        <w:spacing w:before="120"/>
        <w:rPr>
          <w:sz w:val="24"/>
        </w:rPr>
      </w:pPr>
      <w:r w:rsidRPr="002E7F37">
        <w:rPr>
          <w:sz w:val="24"/>
        </w:rPr>
        <w:t xml:space="preserve">Que, el literal c) del numeral 21.3 de la Norma Técnica A.020 Vivienda del Reglamento Nacional de Edificaciones, modificada mediante Resolución Ministerial N.° 188-2021-Vivienda, establece que en los casos que la norma correspondiente no determine el número de espacios para el estacionamiento de vehículos, se deben emplear un (1) estacionamiento para bicicletas por cada tres (3) viviendas. Los estacionamientos para bicicletas forman parte de </w:t>
      </w:r>
      <w:r w:rsidRPr="002E7F37">
        <w:rPr>
          <w:sz w:val="24"/>
        </w:rPr>
        <w:lastRenderedPageBreak/>
        <w:t>las áreas comunes de las edificaciones multifamiliares, conjuntos residenciales y/o de uso colectivo.</w:t>
      </w:r>
    </w:p>
    <w:p w14:paraId="794B827A" w14:textId="6985767A" w:rsidR="002E7F37" w:rsidRPr="002E7F37" w:rsidRDefault="002E7F37" w:rsidP="000D11C4">
      <w:pPr>
        <w:spacing w:before="120"/>
        <w:rPr>
          <w:sz w:val="24"/>
        </w:rPr>
      </w:pPr>
      <w:r w:rsidRPr="002E7F37">
        <w:rPr>
          <w:sz w:val="24"/>
        </w:rPr>
        <w:t>Que, mediante Ordenanza N.° 950-MML se aprueba el Reajuste Integral de Usos del Suelo del distrito de San Isidro y un sector de Magdalena del Mar, que son parte del Área de Tratamiento Normativo III de Lima Metropolitana, la misma que, en su artículo 6° señala que la Municipalidad de Magdalena del Mar formula y aprueba los parámetros urbanísticos y edificatorios complementarios, de estacionamientos, retiros, tamaños mínimos de departamentos, densidades netas de ser necesario y otros, para su aplicación en la jurisdicción;</w:t>
      </w:r>
    </w:p>
    <w:p w14:paraId="60D9696C" w14:textId="710021FC" w:rsidR="002E7F37" w:rsidRPr="002E7F37" w:rsidRDefault="002E7F37" w:rsidP="000D11C4">
      <w:pPr>
        <w:spacing w:before="120"/>
        <w:rPr>
          <w:sz w:val="24"/>
        </w:rPr>
      </w:pPr>
      <w:r w:rsidRPr="002E7F37">
        <w:rPr>
          <w:sz w:val="24"/>
        </w:rPr>
        <w:t>Que, la Ordenanza N.° 1076-MML, modificada por la Ordenanza N.° 1173-MML, aprueba e incorpora las especificaciones normativas de zonificación correspondientes al Área de Tratamiento Normativo II de Lima Metropolitana. Esta disposición incluye el reajuste integral de la zonificación de los usos del suelo del distrito de Magdalena del Mar, otorgando a la municipalidad distrital la facultad de proponer requerimientos técnicos complementarios, entre ellos, los relativos a estacionamientos, conforme a lo establecido en sus disposiciones transitorias y anexos normativos;</w:t>
      </w:r>
    </w:p>
    <w:p w14:paraId="0FAE2BAE" w14:textId="769E9083" w:rsidR="002E7F37" w:rsidRPr="002E7F37" w:rsidRDefault="002E7F37" w:rsidP="000D11C4">
      <w:pPr>
        <w:spacing w:before="120"/>
        <w:rPr>
          <w:sz w:val="24"/>
        </w:rPr>
      </w:pPr>
      <w:r w:rsidRPr="002E7F37">
        <w:rPr>
          <w:sz w:val="24"/>
        </w:rPr>
        <w:t>Que, en ese sentido, por medio de la Ordenanza N.° 166-2023-MDMM, y su modificatoria, se regula la provisión de estacionamientos en las Áreas de Tratamiento Normativo II y III del distrito de Magdalena del Mar, estableciendo en su artículo segundo los parámetros mínimos aplicables, entre ellos, que para el Área de Tratamiento II y III corresponde un (1) estacionamiento por cada vivienda;</w:t>
      </w:r>
    </w:p>
    <w:p w14:paraId="27CE64B7" w14:textId="6D1A5430" w:rsidR="002E7F37" w:rsidRPr="002E7F37" w:rsidRDefault="002E7F37" w:rsidP="000D11C4">
      <w:pPr>
        <w:spacing w:before="120"/>
        <w:rPr>
          <w:sz w:val="24"/>
        </w:rPr>
      </w:pPr>
      <w:r w:rsidRPr="002E7F37">
        <w:rPr>
          <w:sz w:val="24"/>
        </w:rPr>
        <w:t>Que, mediante Informe del visto, la Subgerencia de Infraestructura propone la modificación del artículo segundo de la ordenanza N.° 166-2024-MDMM, a fin de establecer un tratamiento especial para los predios ubicados en determinadas avenidas principales del distrito, incrementando el número mínimo de estacionamientos por vivienda;</w:t>
      </w:r>
    </w:p>
    <w:p w14:paraId="33FA844B" w14:textId="7260531A" w:rsidR="002E7F37" w:rsidRPr="002E7F37" w:rsidRDefault="002E7F37" w:rsidP="000D11C4">
      <w:pPr>
        <w:spacing w:before="120"/>
        <w:rPr>
          <w:sz w:val="24"/>
        </w:rPr>
      </w:pPr>
      <w:r w:rsidRPr="002E7F37">
        <w:rPr>
          <w:sz w:val="24"/>
        </w:rPr>
        <w:t xml:space="preserve">Que, la Gerencia de Desarrollo Territorial e Infraestructura, mediante </w:t>
      </w:r>
      <w:r w:rsidR="000D11C4" w:rsidRPr="002E7F37">
        <w:rPr>
          <w:sz w:val="24"/>
        </w:rPr>
        <w:t xml:space="preserve">informe </w:t>
      </w:r>
      <w:r w:rsidRPr="002E7F37">
        <w:rPr>
          <w:sz w:val="24"/>
        </w:rPr>
        <w:t xml:space="preserve">del visto, hace suyo el Informe N.° 009-2023-BEFG-GDTI-MDMM, por medio del cual se precisa que la modificación que se propone se enmarca en las disposiciones de las </w:t>
      </w:r>
      <w:r w:rsidR="000D11C4" w:rsidRPr="002E7F37">
        <w:rPr>
          <w:sz w:val="24"/>
        </w:rPr>
        <w:t xml:space="preserve">ordenanzas </w:t>
      </w:r>
      <w:r w:rsidRPr="002E7F37">
        <w:rPr>
          <w:sz w:val="24"/>
        </w:rPr>
        <w:t>N.° 950-MML y 1076-MML;</w:t>
      </w:r>
    </w:p>
    <w:p w14:paraId="2CB1F37C" w14:textId="59BE28A2" w:rsidR="002E7F37" w:rsidRPr="002E7F37" w:rsidRDefault="002E7F37" w:rsidP="000D11C4">
      <w:pPr>
        <w:spacing w:before="120"/>
        <w:rPr>
          <w:sz w:val="24"/>
        </w:rPr>
      </w:pPr>
      <w:r w:rsidRPr="002E7F37">
        <w:rPr>
          <w:sz w:val="24"/>
        </w:rPr>
        <w:t>Que, la Oficina General de Asesoría Jurídica, a través del informe del visto, emite opinión legal favorable respecto de la ordenanza que modifique el artículo segundo de la Ordenanza N.° 166-2023-MDMM, de acuerdo con lo propuesto por la Subgerencia de Desarrollo Territorial, estando a que el proyecto se ajusta con la normativa vigente;</w:t>
      </w:r>
    </w:p>
    <w:p w14:paraId="41D6A567" w14:textId="2625EEC9" w:rsidR="002E7F37" w:rsidRPr="002E7F37" w:rsidRDefault="002E7F37" w:rsidP="000D11C4">
      <w:pPr>
        <w:spacing w:before="120"/>
        <w:rPr>
          <w:sz w:val="24"/>
        </w:rPr>
      </w:pPr>
      <w:r w:rsidRPr="002E7F37">
        <w:rPr>
          <w:sz w:val="24"/>
        </w:rPr>
        <w:t>Estando a los fundamentos expuestos y en uso de las facultades conferidas por el artículo 9°, numeral 8) y el artículo 40 de la Ley N.° 27972, Ley Orgánica de Municipalidades, el Concejo Municipal de Magdalena del Mar aprobó por unanimidad, con dispensa del trámite de comisiones, así como de lectura y aprobación del acta, la siguiente:</w:t>
      </w:r>
    </w:p>
    <w:p w14:paraId="4DC2EA04" w14:textId="35285E92" w:rsidR="002E7F37" w:rsidRPr="002E7F37" w:rsidRDefault="002E7F37" w:rsidP="000D11C4">
      <w:pPr>
        <w:spacing w:before="120"/>
        <w:jc w:val="center"/>
        <w:rPr>
          <w:sz w:val="24"/>
        </w:rPr>
      </w:pPr>
      <w:r w:rsidRPr="002E7F37">
        <w:rPr>
          <w:b/>
          <w:bCs/>
          <w:sz w:val="24"/>
        </w:rPr>
        <w:t>Ordenanza</w:t>
      </w:r>
    </w:p>
    <w:p w14:paraId="78CA3090" w14:textId="27ECE321" w:rsidR="002E7F37" w:rsidRPr="002E7F37" w:rsidRDefault="002E7F37" w:rsidP="000D11C4">
      <w:pPr>
        <w:spacing w:before="120"/>
        <w:rPr>
          <w:sz w:val="24"/>
        </w:rPr>
      </w:pPr>
      <w:r w:rsidRPr="002E7F37">
        <w:rPr>
          <w:sz w:val="24"/>
        </w:rPr>
        <w:lastRenderedPageBreak/>
        <w:t>Artículo Primero.- Modificar el artículo segundo de la Ordenanza N.° 166-2023-MDMM, y su modificatoria, que regula la provisión de estacionamientos en las Áreas de Tratamiento Normativo II y III del distrito de Magdalena del Mar, que queda redactado de la siguiente manera:</w:t>
      </w:r>
    </w:p>
    <w:p w14:paraId="021D8D0E" w14:textId="52EB6A0E" w:rsidR="002E7F37" w:rsidRDefault="000D11C4" w:rsidP="000D11C4">
      <w:pPr>
        <w:spacing w:before="120" w:after="240"/>
        <w:rPr>
          <w:i/>
          <w:iCs/>
          <w:sz w:val="24"/>
        </w:rPr>
      </w:pPr>
      <w:r>
        <w:rPr>
          <w:sz w:val="24"/>
        </w:rPr>
        <w:t>"</w:t>
      </w:r>
      <w:r w:rsidR="002E7F37" w:rsidRPr="002E7F37">
        <w:rPr>
          <w:i/>
          <w:iCs/>
          <w:sz w:val="24"/>
        </w:rPr>
        <w:t xml:space="preserve">Artículo Segundo.- </w:t>
      </w:r>
      <w:r w:rsidR="002E7F37" w:rsidRPr="000D11C4">
        <w:rPr>
          <w:b/>
          <w:i/>
          <w:iCs/>
          <w:sz w:val="24"/>
        </w:rPr>
        <w:t>Estacionamiento para zonas residenciales</w:t>
      </w:r>
      <w:r>
        <w:rPr>
          <w:b/>
          <w:i/>
          <w:iCs/>
          <w:sz w:val="24"/>
        </w:rPr>
        <w:t xml:space="preserve">. </w:t>
      </w:r>
      <w:r w:rsidR="002E7F37" w:rsidRPr="002E7F37">
        <w:rPr>
          <w:i/>
          <w:iCs/>
          <w:sz w:val="24"/>
        </w:rPr>
        <w:t>Los estacionamientos para bicicletas forman parte de las áreas comunes de las edificaciones multifamiliares, conjuntos residenciales y/o de uso colectivo.</w:t>
      </w:r>
    </w:p>
    <w:tbl>
      <w:tblPr>
        <w:tblStyle w:val="Tablaconcuadrcula"/>
        <w:tblW w:w="0" w:type="auto"/>
        <w:tblLook w:val="04A0" w:firstRow="1" w:lastRow="0" w:firstColumn="1" w:lastColumn="0" w:noHBand="0" w:noVBand="1"/>
      </w:tblPr>
      <w:tblGrid>
        <w:gridCol w:w="2881"/>
        <w:gridCol w:w="2881"/>
        <w:gridCol w:w="2882"/>
      </w:tblGrid>
      <w:tr w:rsidR="000D11C4" w:rsidRPr="000D11C4" w14:paraId="430D40F3" w14:textId="77777777" w:rsidTr="000D11C4">
        <w:tc>
          <w:tcPr>
            <w:tcW w:w="2881" w:type="dxa"/>
          </w:tcPr>
          <w:p w14:paraId="32BD04A3" w14:textId="77777777" w:rsidR="000D11C4" w:rsidRPr="000D11C4" w:rsidRDefault="000D11C4" w:rsidP="000D11C4">
            <w:pPr>
              <w:jc w:val="center"/>
              <w:rPr>
                <w:b/>
                <w:i/>
                <w:iCs/>
                <w:szCs w:val="20"/>
              </w:rPr>
            </w:pPr>
          </w:p>
        </w:tc>
        <w:tc>
          <w:tcPr>
            <w:tcW w:w="2881" w:type="dxa"/>
          </w:tcPr>
          <w:p w14:paraId="1867A255" w14:textId="77777777" w:rsidR="000D11C4" w:rsidRPr="000D11C4" w:rsidRDefault="000D11C4" w:rsidP="000D11C4">
            <w:pPr>
              <w:jc w:val="center"/>
              <w:rPr>
                <w:b/>
                <w:i/>
                <w:iCs/>
                <w:szCs w:val="20"/>
              </w:rPr>
            </w:pPr>
            <w:r w:rsidRPr="000D11C4">
              <w:rPr>
                <w:b/>
                <w:i/>
                <w:iCs/>
                <w:szCs w:val="20"/>
              </w:rPr>
              <w:t>Área de Tratamiento Normativo III</w:t>
            </w:r>
          </w:p>
        </w:tc>
        <w:tc>
          <w:tcPr>
            <w:tcW w:w="2882" w:type="dxa"/>
          </w:tcPr>
          <w:p w14:paraId="5ACB446F" w14:textId="77777777" w:rsidR="000D11C4" w:rsidRPr="000D11C4" w:rsidRDefault="000D11C4" w:rsidP="000D11C4">
            <w:pPr>
              <w:jc w:val="center"/>
              <w:rPr>
                <w:b/>
                <w:i/>
                <w:iCs/>
                <w:szCs w:val="20"/>
              </w:rPr>
            </w:pPr>
            <w:r w:rsidRPr="000D11C4">
              <w:rPr>
                <w:b/>
                <w:i/>
                <w:iCs/>
                <w:szCs w:val="20"/>
              </w:rPr>
              <w:t>Área de Tratamiento Normativo II</w:t>
            </w:r>
          </w:p>
        </w:tc>
      </w:tr>
      <w:tr w:rsidR="000D11C4" w:rsidRPr="000D11C4" w14:paraId="0378D997" w14:textId="77777777" w:rsidTr="000D11C4">
        <w:tc>
          <w:tcPr>
            <w:tcW w:w="2881" w:type="dxa"/>
          </w:tcPr>
          <w:p w14:paraId="6E816FF5" w14:textId="77777777" w:rsidR="000D11C4" w:rsidRPr="000D11C4" w:rsidRDefault="000D11C4" w:rsidP="00A8005E">
            <w:pPr>
              <w:rPr>
                <w:b/>
                <w:i/>
                <w:iCs/>
                <w:szCs w:val="20"/>
              </w:rPr>
            </w:pPr>
            <w:r w:rsidRPr="000D11C4">
              <w:rPr>
                <w:b/>
                <w:i/>
                <w:iCs/>
                <w:szCs w:val="20"/>
              </w:rPr>
              <w:t>Estacionamiento vivienda</w:t>
            </w:r>
          </w:p>
        </w:tc>
        <w:tc>
          <w:tcPr>
            <w:tcW w:w="2881" w:type="dxa"/>
          </w:tcPr>
          <w:p w14:paraId="76B1075B" w14:textId="77777777" w:rsidR="000D11C4" w:rsidRPr="000D11C4" w:rsidRDefault="000D11C4" w:rsidP="00A8005E">
            <w:pPr>
              <w:rPr>
                <w:i/>
                <w:iCs/>
                <w:szCs w:val="20"/>
              </w:rPr>
            </w:pPr>
            <w:r w:rsidRPr="000D11C4">
              <w:rPr>
                <w:i/>
                <w:iCs/>
                <w:szCs w:val="20"/>
              </w:rPr>
              <w:t>1 por cada vivienda (*)</w:t>
            </w:r>
          </w:p>
        </w:tc>
        <w:tc>
          <w:tcPr>
            <w:tcW w:w="2882" w:type="dxa"/>
          </w:tcPr>
          <w:p w14:paraId="007429EB" w14:textId="77777777" w:rsidR="000D11C4" w:rsidRPr="000D11C4" w:rsidRDefault="000D11C4" w:rsidP="00A8005E">
            <w:pPr>
              <w:rPr>
                <w:i/>
                <w:iCs/>
                <w:szCs w:val="20"/>
              </w:rPr>
            </w:pPr>
            <w:r w:rsidRPr="000D11C4">
              <w:rPr>
                <w:i/>
                <w:iCs/>
                <w:szCs w:val="20"/>
              </w:rPr>
              <w:t>1 por cada vivienda (*)</w:t>
            </w:r>
          </w:p>
        </w:tc>
      </w:tr>
      <w:tr w:rsidR="000D11C4" w:rsidRPr="000D11C4" w14:paraId="4738A963" w14:textId="77777777" w:rsidTr="000D11C4">
        <w:tc>
          <w:tcPr>
            <w:tcW w:w="2881" w:type="dxa"/>
          </w:tcPr>
          <w:p w14:paraId="4E4038B1" w14:textId="77777777" w:rsidR="000D11C4" w:rsidRPr="000D11C4" w:rsidRDefault="000D11C4" w:rsidP="00A8005E">
            <w:pPr>
              <w:rPr>
                <w:b/>
                <w:i/>
                <w:iCs/>
                <w:szCs w:val="20"/>
              </w:rPr>
            </w:pPr>
            <w:r w:rsidRPr="000D11C4">
              <w:rPr>
                <w:b/>
                <w:i/>
                <w:iCs/>
                <w:szCs w:val="20"/>
              </w:rPr>
              <w:t>Estacionamiento de visitas</w:t>
            </w:r>
          </w:p>
        </w:tc>
        <w:tc>
          <w:tcPr>
            <w:tcW w:w="2881" w:type="dxa"/>
          </w:tcPr>
          <w:p w14:paraId="10CBC48A" w14:textId="77777777" w:rsidR="000D11C4" w:rsidRPr="000D11C4" w:rsidRDefault="000D11C4" w:rsidP="00A8005E">
            <w:pPr>
              <w:rPr>
                <w:i/>
                <w:iCs/>
                <w:szCs w:val="20"/>
              </w:rPr>
            </w:pPr>
            <w:r w:rsidRPr="000D11C4">
              <w:rPr>
                <w:i/>
                <w:iCs/>
                <w:szCs w:val="20"/>
              </w:rPr>
              <w:t>1 por cada 20 viviendas</w:t>
            </w:r>
          </w:p>
        </w:tc>
        <w:tc>
          <w:tcPr>
            <w:tcW w:w="2882" w:type="dxa"/>
          </w:tcPr>
          <w:p w14:paraId="743F9B60" w14:textId="77777777" w:rsidR="000D11C4" w:rsidRPr="000D11C4" w:rsidRDefault="000D11C4" w:rsidP="00A8005E">
            <w:pPr>
              <w:rPr>
                <w:i/>
                <w:iCs/>
                <w:szCs w:val="20"/>
              </w:rPr>
            </w:pPr>
            <w:r w:rsidRPr="000D11C4">
              <w:rPr>
                <w:i/>
                <w:iCs/>
                <w:szCs w:val="20"/>
              </w:rPr>
              <w:t>1 por cada 40 viviendas</w:t>
            </w:r>
          </w:p>
        </w:tc>
      </w:tr>
      <w:tr w:rsidR="000D11C4" w:rsidRPr="000D11C4" w14:paraId="442E766D" w14:textId="77777777" w:rsidTr="000D11C4">
        <w:tc>
          <w:tcPr>
            <w:tcW w:w="2881" w:type="dxa"/>
          </w:tcPr>
          <w:p w14:paraId="63C70A03" w14:textId="77777777" w:rsidR="000D11C4" w:rsidRPr="000D11C4" w:rsidRDefault="000D11C4" w:rsidP="00A8005E">
            <w:pPr>
              <w:rPr>
                <w:b/>
                <w:i/>
                <w:iCs/>
                <w:szCs w:val="20"/>
              </w:rPr>
            </w:pPr>
            <w:r w:rsidRPr="000D11C4">
              <w:rPr>
                <w:b/>
                <w:i/>
                <w:iCs/>
                <w:szCs w:val="20"/>
              </w:rPr>
              <w:t>Bicicletas</w:t>
            </w:r>
          </w:p>
        </w:tc>
        <w:tc>
          <w:tcPr>
            <w:tcW w:w="2881" w:type="dxa"/>
          </w:tcPr>
          <w:p w14:paraId="65D80721" w14:textId="77777777" w:rsidR="000D11C4" w:rsidRPr="000D11C4" w:rsidRDefault="000D11C4" w:rsidP="00A8005E">
            <w:pPr>
              <w:rPr>
                <w:b/>
                <w:i/>
                <w:iCs/>
                <w:szCs w:val="20"/>
              </w:rPr>
            </w:pPr>
            <w:r w:rsidRPr="000D11C4">
              <w:rPr>
                <w:b/>
                <w:i/>
                <w:iCs/>
                <w:szCs w:val="20"/>
              </w:rPr>
              <w:t>1 cada 2 viviendas</w:t>
            </w:r>
          </w:p>
        </w:tc>
        <w:tc>
          <w:tcPr>
            <w:tcW w:w="2882" w:type="dxa"/>
          </w:tcPr>
          <w:p w14:paraId="2B96685D" w14:textId="77777777" w:rsidR="000D11C4" w:rsidRPr="000D11C4" w:rsidRDefault="000D11C4" w:rsidP="00A8005E">
            <w:pPr>
              <w:rPr>
                <w:i/>
                <w:iCs/>
                <w:szCs w:val="20"/>
              </w:rPr>
            </w:pPr>
            <w:r w:rsidRPr="000D11C4">
              <w:rPr>
                <w:i/>
                <w:iCs/>
                <w:szCs w:val="20"/>
              </w:rPr>
              <w:t>1 cada 3 viviendas</w:t>
            </w:r>
          </w:p>
        </w:tc>
      </w:tr>
    </w:tbl>
    <w:p w14:paraId="43980887" w14:textId="4C64C8CD" w:rsidR="002E7F37" w:rsidRPr="002E7F37" w:rsidRDefault="002E7F37" w:rsidP="000D11C4">
      <w:pPr>
        <w:spacing w:before="120"/>
      </w:pPr>
      <w:r w:rsidRPr="002E7F37">
        <w:t>(*) Solo en las avenidas: Av. Brasil, Av. Sucre, Av. Javier Prado Oeste, Av. Del Ejercito, Av. Antonio Miroquesada, Av. Salaverry y Av. Pershing, serán 2 Estacionamientos por cada 3 viviendas, manteniendo para el resto del distrito lo indicado en la Ordenanza 244-2024-MDMM.</w:t>
      </w:r>
    </w:p>
    <w:p w14:paraId="27320A16" w14:textId="3B80D017" w:rsidR="002E7F37" w:rsidRPr="002E7F37" w:rsidRDefault="002E7F37" w:rsidP="000D11C4">
      <w:pPr>
        <w:spacing w:before="120"/>
        <w:rPr>
          <w:sz w:val="24"/>
        </w:rPr>
      </w:pPr>
      <w:r w:rsidRPr="002E7F37">
        <w:rPr>
          <w:sz w:val="24"/>
        </w:rPr>
        <w:t>Artículo Segundo.- Ratificar el contenido del resto de los artículos de la Ordenanza N.° 166-2023- MDMM, no modificados por medio del artículo precedente.</w:t>
      </w:r>
    </w:p>
    <w:p w14:paraId="45B9A6F0" w14:textId="7787F06C" w:rsidR="002E7F37" w:rsidRPr="002E7F37" w:rsidRDefault="002E7F37" w:rsidP="000D11C4">
      <w:pPr>
        <w:spacing w:before="120"/>
        <w:rPr>
          <w:sz w:val="24"/>
        </w:rPr>
      </w:pPr>
      <w:r w:rsidRPr="002E7F37">
        <w:rPr>
          <w:sz w:val="24"/>
        </w:rPr>
        <w:t xml:space="preserve">Artículo Tercero.- Encargar a la Gerencia de Desarrollo Territorial e Infraestructura, a la Subgerencia de Fiscalización y sanciones, así como a la </w:t>
      </w:r>
      <w:r w:rsidR="000D11C4" w:rsidRPr="002E7F37">
        <w:rPr>
          <w:sz w:val="24"/>
        </w:rPr>
        <w:t xml:space="preserve">Gerencia </w:t>
      </w:r>
      <w:r w:rsidRPr="002E7F37">
        <w:rPr>
          <w:sz w:val="24"/>
        </w:rPr>
        <w:t xml:space="preserve">de Control y Seguridad Ciudadana, el cabal cumplimiento de la presente </w:t>
      </w:r>
      <w:r w:rsidR="000D11C4" w:rsidRPr="002E7F37">
        <w:rPr>
          <w:sz w:val="24"/>
        </w:rPr>
        <w:t>ordenanza</w:t>
      </w:r>
      <w:r w:rsidRPr="002E7F37">
        <w:rPr>
          <w:sz w:val="24"/>
        </w:rPr>
        <w:t>.</w:t>
      </w:r>
    </w:p>
    <w:p w14:paraId="4FA130C7" w14:textId="6204B44A" w:rsidR="002E7F37" w:rsidRPr="002E7F37" w:rsidRDefault="002E7F37" w:rsidP="000D11C4">
      <w:pPr>
        <w:spacing w:before="120"/>
        <w:rPr>
          <w:sz w:val="24"/>
        </w:rPr>
      </w:pPr>
      <w:r w:rsidRPr="002E7F37">
        <w:rPr>
          <w:sz w:val="24"/>
        </w:rPr>
        <w:t>Artículo Cuarto.- Disponer la publicación del presente dispositivo en el Diario Oficial El Peruano, y en la Plataforma Digital Única del Estado Peruano (www.gob.pe).</w:t>
      </w:r>
    </w:p>
    <w:p w14:paraId="27945972" w14:textId="77777777" w:rsidR="002E7F37" w:rsidRPr="002E7F37" w:rsidRDefault="002E7F37" w:rsidP="000D11C4">
      <w:pPr>
        <w:spacing w:before="120"/>
        <w:rPr>
          <w:sz w:val="24"/>
        </w:rPr>
      </w:pPr>
      <w:r w:rsidRPr="002E7F37">
        <w:rPr>
          <w:sz w:val="24"/>
        </w:rPr>
        <w:t>Regístrese, comuníquese, publíquese y cúmplase.</w:t>
      </w:r>
    </w:p>
    <w:p w14:paraId="7610790C" w14:textId="03604E1C" w:rsidR="002E7F37" w:rsidRPr="002E7F37" w:rsidRDefault="002E7F37" w:rsidP="000D11C4">
      <w:pPr>
        <w:spacing w:before="120"/>
        <w:rPr>
          <w:sz w:val="24"/>
        </w:rPr>
      </w:pPr>
      <w:r w:rsidRPr="002E7F37">
        <w:rPr>
          <w:sz w:val="24"/>
        </w:rPr>
        <w:t>Francis James Allison Oyague</w:t>
      </w:r>
    </w:p>
    <w:p w14:paraId="3A164351" w14:textId="363B7DD6" w:rsidR="002017D0" w:rsidRDefault="002E7F37" w:rsidP="000D11C4">
      <w:pPr>
        <w:spacing w:before="120"/>
      </w:pPr>
      <w:r w:rsidRPr="002E7F37">
        <w:rPr>
          <w:sz w:val="24"/>
        </w:rPr>
        <w:t>Alcalde</w:t>
      </w:r>
    </w:p>
    <w:p w14:paraId="739BCCFB" w14:textId="4B0A94F7" w:rsidR="002E7F37" w:rsidRDefault="002E7F37" w:rsidP="000D11C4">
      <w:pPr>
        <w:spacing w:before="120"/>
        <w:jc w:val="center"/>
      </w:pPr>
      <w:r w:rsidRPr="002E7F37">
        <w:t xml:space="preserve">Documento publicado en el Diario Oficial </w:t>
      </w:r>
      <w:r w:rsidR="000D11C4">
        <w:t>"</w:t>
      </w:r>
      <w:r w:rsidRPr="002E7F37">
        <w:t>El Peruano</w:t>
      </w:r>
      <w:r w:rsidR="000D11C4">
        <w:t>"</w:t>
      </w:r>
      <w:r w:rsidRPr="002E7F37">
        <w:t xml:space="preserve"> el 5 de agosto del 2025.</w:t>
      </w:r>
    </w:p>
    <w:sectPr w:rsidR="002E7F3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BAF624" w14:textId="77777777" w:rsidR="00A36A3D" w:rsidRDefault="00A36A3D" w:rsidP="002E7F37">
      <w:r>
        <w:separator/>
      </w:r>
    </w:p>
  </w:endnote>
  <w:endnote w:type="continuationSeparator" w:id="0">
    <w:p w14:paraId="53AA3DD6" w14:textId="77777777" w:rsidR="00A36A3D" w:rsidRDefault="00A36A3D" w:rsidP="002E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24ADB" w14:textId="08BA1773" w:rsidR="002E7F37" w:rsidRPr="000D11C4" w:rsidRDefault="002E7F37" w:rsidP="000D11C4">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42B786AE" wp14:editId="74198C92">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49D16" w14:textId="77777777" w:rsidR="00A36A3D" w:rsidRDefault="00A36A3D" w:rsidP="002E7F37">
      <w:r>
        <w:separator/>
      </w:r>
    </w:p>
  </w:footnote>
  <w:footnote w:type="continuationSeparator" w:id="0">
    <w:p w14:paraId="584BF6DC" w14:textId="77777777" w:rsidR="00A36A3D" w:rsidRDefault="00A36A3D" w:rsidP="002E7F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9C1CB" w14:textId="45ED77FC" w:rsidR="002E7F37" w:rsidRDefault="002E7F37" w:rsidP="000D11C4">
    <w:pPr>
      <w:pStyle w:val="Encabezado"/>
      <w:spacing w:after="240"/>
    </w:pPr>
    <w:r>
      <w:rPr>
        <w:noProof/>
        <w:lang w:eastAsia="es-PE"/>
      </w:rPr>
      <w:drawing>
        <wp:inline distT="0" distB="0" distL="0" distR="0" wp14:anchorId="5CAE040E" wp14:editId="1EA548FB">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F37"/>
    <w:rsid w:val="0002405D"/>
    <w:rsid w:val="000526BE"/>
    <w:rsid w:val="00096CEC"/>
    <w:rsid w:val="000D11C4"/>
    <w:rsid w:val="00133291"/>
    <w:rsid w:val="002017D0"/>
    <w:rsid w:val="002E7F37"/>
    <w:rsid w:val="00580259"/>
    <w:rsid w:val="0061205D"/>
    <w:rsid w:val="00615327"/>
    <w:rsid w:val="007F0EA7"/>
    <w:rsid w:val="008066EB"/>
    <w:rsid w:val="008F2267"/>
    <w:rsid w:val="00A36A3D"/>
    <w:rsid w:val="00AA3083"/>
    <w:rsid w:val="00BB3261"/>
    <w:rsid w:val="00C32D53"/>
    <w:rsid w:val="00D361DE"/>
    <w:rsid w:val="00F22DD5"/>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2E7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7F37"/>
    <w:pPr>
      <w:tabs>
        <w:tab w:val="center" w:pos="4252"/>
        <w:tab w:val="right" w:pos="8504"/>
      </w:tabs>
    </w:pPr>
  </w:style>
  <w:style w:type="character" w:customStyle="1" w:styleId="EncabezadoCar">
    <w:name w:val="Encabezado Car"/>
    <w:basedOn w:val="Fuentedeprrafopredeter"/>
    <w:link w:val="Encabezado"/>
    <w:uiPriority w:val="99"/>
    <w:rsid w:val="002E7F37"/>
    <w:rPr>
      <w:rFonts w:ascii="Arial" w:hAnsi="Arial"/>
      <w:sz w:val="20"/>
    </w:rPr>
  </w:style>
  <w:style w:type="paragraph" w:styleId="Piedepgina">
    <w:name w:val="footer"/>
    <w:basedOn w:val="Normal"/>
    <w:link w:val="PiedepginaCar"/>
    <w:uiPriority w:val="99"/>
    <w:unhideWhenUsed/>
    <w:rsid w:val="002E7F37"/>
    <w:pPr>
      <w:tabs>
        <w:tab w:val="center" w:pos="4252"/>
        <w:tab w:val="right" w:pos="8504"/>
      </w:tabs>
    </w:pPr>
  </w:style>
  <w:style w:type="character" w:customStyle="1" w:styleId="PiedepginaCar">
    <w:name w:val="Pie de página Car"/>
    <w:basedOn w:val="Fuentedeprrafopredeter"/>
    <w:link w:val="Piedepgina"/>
    <w:uiPriority w:val="99"/>
    <w:rsid w:val="002E7F37"/>
    <w:rPr>
      <w:rFonts w:ascii="Arial" w:hAnsi="Arial"/>
      <w:sz w:val="20"/>
    </w:rPr>
  </w:style>
  <w:style w:type="paragraph" w:styleId="Textodeglobo">
    <w:name w:val="Balloon Text"/>
    <w:basedOn w:val="Normal"/>
    <w:link w:val="TextodegloboCar"/>
    <w:uiPriority w:val="99"/>
    <w:semiHidden/>
    <w:unhideWhenUsed/>
    <w:rsid w:val="000D11C4"/>
    <w:rPr>
      <w:rFonts w:ascii="Tahoma" w:hAnsi="Tahoma" w:cs="Tahoma"/>
      <w:sz w:val="16"/>
      <w:szCs w:val="16"/>
    </w:rPr>
  </w:style>
  <w:style w:type="character" w:customStyle="1" w:styleId="TextodegloboCar">
    <w:name w:val="Texto de globo Car"/>
    <w:basedOn w:val="Fuentedeprrafopredeter"/>
    <w:link w:val="Textodeglobo"/>
    <w:uiPriority w:val="99"/>
    <w:semiHidden/>
    <w:rsid w:val="000D1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2E7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E7F37"/>
    <w:pPr>
      <w:tabs>
        <w:tab w:val="center" w:pos="4252"/>
        <w:tab w:val="right" w:pos="8504"/>
      </w:tabs>
    </w:pPr>
  </w:style>
  <w:style w:type="character" w:customStyle="1" w:styleId="EncabezadoCar">
    <w:name w:val="Encabezado Car"/>
    <w:basedOn w:val="Fuentedeprrafopredeter"/>
    <w:link w:val="Encabezado"/>
    <w:uiPriority w:val="99"/>
    <w:rsid w:val="002E7F37"/>
    <w:rPr>
      <w:rFonts w:ascii="Arial" w:hAnsi="Arial"/>
      <w:sz w:val="20"/>
    </w:rPr>
  </w:style>
  <w:style w:type="paragraph" w:styleId="Piedepgina">
    <w:name w:val="footer"/>
    <w:basedOn w:val="Normal"/>
    <w:link w:val="PiedepginaCar"/>
    <w:uiPriority w:val="99"/>
    <w:unhideWhenUsed/>
    <w:rsid w:val="002E7F37"/>
    <w:pPr>
      <w:tabs>
        <w:tab w:val="center" w:pos="4252"/>
        <w:tab w:val="right" w:pos="8504"/>
      </w:tabs>
    </w:pPr>
  </w:style>
  <w:style w:type="character" w:customStyle="1" w:styleId="PiedepginaCar">
    <w:name w:val="Pie de página Car"/>
    <w:basedOn w:val="Fuentedeprrafopredeter"/>
    <w:link w:val="Piedepgina"/>
    <w:uiPriority w:val="99"/>
    <w:rsid w:val="002E7F37"/>
    <w:rPr>
      <w:rFonts w:ascii="Arial" w:hAnsi="Arial"/>
      <w:sz w:val="20"/>
    </w:rPr>
  </w:style>
  <w:style w:type="paragraph" w:styleId="Textodeglobo">
    <w:name w:val="Balloon Text"/>
    <w:basedOn w:val="Normal"/>
    <w:link w:val="TextodegloboCar"/>
    <w:uiPriority w:val="99"/>
    <w:semiHidden/>
    <w:unhideWhenUsed/>
    <w:rsid w:val="000D11C4"/>
    <w:rPr>
      <w:rFonts w:ascii="Tahoma" w:hAnsi="Tahoma" w:cs="Tahoma"/>
      <w:sz w:val="16"/>
      <w:szCs w:val="16"/>
    </w:rPr>
  </w:style>
  <w:style w:type="character" w:customStyle="1" w:styleId="TextodegloboCar">
    <w:name w:val="Texto de globo Car"/>
    <w:basedOn w:val="Fuentedeprrafopredeter"/>
    <w:link w:val="Textodeglobo"/>
    <w:uiPriority w:val="99"/>
    <w:semiHidden/>
    <w:rsid w:val="000D1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1148</Words>
  <Characters>6319</Characters>
  <Application>Microsoft Office Word</Application>
  <DocSecurity>0</DocSecurity>
  <Lines>52</Lines>
  <Paragraphs>14</Paragraphs>
  <ScaleCrop>false</ScaleCrop>
  <Company/>
  <LinksUpToDate>false</LinksUpToDate>
  <CharactersWithSpaces>7453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Angelr</cp:lastModifiedBy>
  <cp:revision>2</cp:revision>
  <dcterms:created xsi:type="dcterms:W3CDTF">2025-08-05T15:12:00Z</dcterms:created>
  <dcterms:modified xsi:type="dcterms:W3CDTF">2025-08-05T17:29:00Z</dcterms:modified>
</cp:coreProperties>
</file>