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27547" w14:textId="549CE3C1" w:rsidR="009A7335" w:rsidRPr="009A7335" w:rsidRDefault="009A7335" w:rsidP="004A401C">
      <w:pPr>
        <w:spacing w:before="120"/>
        <w:jc w:val="center"/>
        <w:rPr>
          <w:b/>
          <w:bCs/>
          <w:sz w:val="24"/>
        </w:rPr>
      </w:pPr>
      <w:bookmarkStart w:id="0" w:name="_GoBack"/>
      <w:bookmarkEnd w:id="0"/>
      <w:r w:rsidRPr="009A7335">
        <w:rPr>
          <w:b/>
          <w:bCs/>
          <w:sz w:val="24"/>
        </w:rPr>
        <w:t xml:space="preserve">Aprueban mejoras funcionales en la Plataforma </w:t>
      </w:r>
      <w:r w:rsidR="004A401C">
        <w:rPr>
          <w:b/>
          <w:bCs/>
          <w:sz w:val="24"/>
        </w:rPr>
        <w:t>"</w:t>
      </w:r>
      <w:r w:rsidRPr="009A7335">
        <w:rPr>
          <w:b/>
          <w:bCs/>
          <w:sz w:val="24"/>
        </w:rPr>
        <w:t>Síguelo Plus</w:t>
      </w:r>
      <w:r w:rsidR="004A401C">
        <w:rPr>
          <w:b/>
          <w:bCs/>
          <w:sz w:val="24"/>
        </w:rPr>
        <w:t>"</w:t>
      </w:r>
    </w:p>
    <w:p w14:paraId="4A828E0F" w14:textId="4EF93070" w:rsidR="009A7335" w:rsidRPr="009A7335" w:rsidRDefault="009A7335" w:rsidP="004A401C">
      <w:pPr>
        <w:spacing w:before="120"/>
        <w:jc w:val="center"/>
        <w:rPr>
          <w:b/>
          <w:bCs/>
          <w:sz w:val="24"/>
        </w:rPr>
      </w:pPr>
      <w:r w:rsidRPr="009A7335">
        <w:rPr>
          <w:b/>
          <w:bCs/>
          <w:sz w:val="24"/>
        </w:rPr>
        <w:t>Resolución de la Superintendencia Nacional de los Registros Públicos N.° 00102-2025-Sunarp</w:t>
      </w:r>
      <w:r w:rsidR="004A401C">
        <w:rPr>
          <w:b/>
          <w:bCs/>
          <w:sz w:val="24"/>
        </w:rPr>
        <w:t>-</w:t>
      </w:r>
      <w:r w:rsidRPr="009A7335">
        <w:rPr>
          <w:b/>
          <w:bCs/>
          <w:sz w:val="24"/>
        </w:rPr>
        <w:t>SN</w:t>
      </w:r>
    </w:p>
    <w:p w14:paraId="0F7F9B0B" w14:textId="70595F7F" w:rsidR="009A7335" w:rsidRPr="009A7335" w:rsidRDefault="009A7335" w:rsidP="004A401C">
      <w:pPr>
        <w:spacing w:before="120"/>
        <w:rPr>
          <w:sz w:val="24"/>
        </w:rPr>
      </w:pPr>
      <w:r w:rsidRPr="009A7335">
        <w:rPr>
          <w:sz w:val="24"/>
        </w:rPr>
        <w:t>Lima, 25 de julio del 2025</w:t>
      </w:r>
    </w:p>
    <w:p w14:paraId="16BD9509" w14:textId="64050742" w:rsidR="009A7335" w:rsidRPr="009A7335" w:rsidRDefault="009A7335" w:rsidP="004A401C">
      <w:pPr>
        <w:spacing w:before="120"/>
        <w:rPr>
          <w:sz w:val="24"/>
        </w:rPr>
      </w:pPr>
      <w:r w:rsidRPr="009A7335">
        <w:rPr>
          <w:sz w:val="24"/>
        </w:rPr>
        <w:t>Vistos:</w:t>
      </w:r>
    </w:p>
    <w:p w14:paraId="04D5084F" w14:textId="5DF61F2D" w:rsidR="009A7335" w:rsidRPr="009A7335" w:rsidRDefault="009A7335" w:rsidP="004A401C">
      <w:pPr>
        <w:spacing w:before="120"/>
        <w:rPr>
          <w:sz w:val="24"/>
        </w:rPr>
      </w:pPr>
      <w:r w:rsidRPr="009A7335">
        <w:rPr>
          <w:sz w:val="24"/>
        </w:rPr>
        <w:t>El Informe Técnico N.° 00067-2025-Sunarp/DTR del 22 de julio del 2025, de la Dirección Técnica Registral; el Memorándum N.° 01007-2025-Sunarp/OTI del 24 de julio del 2025, de la Oficina de Tecnologías de la Información; el Informe N.° 00731-2025-Sunarp/OAJ del 24 de julio del 2025, de la Oficina de Asesoría Jurídica; y,</w:t>
      </w:r>
    </w:p>
    <w:p w14:paraId="215D3440" w14:textId="1754E50D" w:rsidR="009A7335" w:rsidRPr="009A7335" w:rsidRDefault="009A7335" w:rsidP="004A401C">
      <w:pPr>
        <w:spacing w:before="120"/>
        <w:rPr>
          <w:sz w:val="24"/>
        </w:rPr>
      </w:pPr>
      <w:r w:rsidRPr="009A7335">
        <w:rPr>
          <w:sz w:val="24"/>
        </w:rPr>
        <w:t>Considerando:</w:t>
      </w:r>
    </w:p>
    <w:p w14:paraId="0F0EA466" w14:textId="42CB82A9" w:rsidR="009A7335" w:rsidRPr="009A7335" w:rsidRDefault="009A7335" w:rsidP="004A401C">
      <w:pPr>
        <w:spacing w:before="120"/>
        <w:rPr>
          <w:sz w:val="24"/>
        </w:rPr>
      </w:pPr>
      <w:r w:rsidRPr="009A7335">
        <w:rPr>
          <w:sz w:val="24"/>
        </w:rPr>
        <w:t>Que, la Superintendencia Nacional de los Registros Públicos - Sunarp es un Organismo Técnico Especializado del Sector Justicia y Derechos Humanos que tiene por objeto dictar las políticas técnico administrativas de los Registros Públicos, estando encargada de planificar, organizar, normar, dirigir, coordinar y supervisar la inscripción y publicidad de los actos y contratos en los Registros Públicos que integran el Sistema Nacional, en el marco de un proceso de simplificac</w:t>
      </w:r>
      <w:r w:rsidR="004A401C" w:rsidRPr="009A7335">
        <w:rPr>
          <w:sz w:val="24"/>
        </w:rPr>
        <w:t>ión, integración y modernización de los registros;</w:t>
      </w:r>
    </w:p>
    <w:p w14:paraId="1CDE59B2" w14:textId="0B4EC879" w:rsidR="009A7335" w:rsidRPr="009A7335" w:rsidRDefault="009A7335" w:rsidP="004A401C">
      <w:pPr>
        <w:spacing w:before="120"/>
        <w:rPr>
          <w:sz w:val="24"/>
        </w:rPr>
      </w:pPr>
      <w:r w:rsidRPr="009A7335">
        <w:rPr>
          <w:sz w:val="24"/>
        </w:rPr>
        <w:t>Que, mediante la Ley N.°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w:t>
      </w:r>
    </w:p>
    <w:p w14:paraId="0D6F8F25" w14:textId="4EB35982" w:rsidR="009A7335" w:rsidRPr="009A7335" w:rsidRDefault="009A7335" w:rsidP="004A401C">
      <w:pPr>
        <w:spacing w:before="120"/>
        <w:rPr>
          <w:sz w:val="24"/>
        </w:rPr>
      </w:pPr>
      <w:r w:rsidRPr="009A7335">
        <w:rPr>
          <w:sz w:val="24"/>
        </w:rPr>
        <w:t xml:space="preserve">Que, en el </w:t>
      </w:r>
      <w:r w:rsidR="004A401C" w:rsidRPr="009A7335">
        <w:rPr>
          <w:sz w:val="24"/>
        </w:rPr>
        <w:t xml:space="preserve">Artículo </w:t>
      </w:r>
      <w:r w:rsidRPr="009A7335">
        <w:rPr>
          <w:sz w:val="24"/>
        </w:rPr>
        <w:t>II del Título Preliminar de la Ley N.° 29158, Ley Orgánica del Poder Ejecutivo, se establece que, en virtud del principio de servicio al ciudadano, las entidades del Poder Ejecutivo están al servicio de las personas y de la sociedad, y actúan en función de sus necesidades así como del interés general de la Nación, asegurando que su actividad se realice, entre otros, con arreglo a la eficiencia; por lo que su gestión debe realizarse optimizando la utilización de los recursos disponibles, procurando la innovación y la mejora continua;</w:t>
      </w:r>
    </w:p>
    <w:p w14:paraId="41AA44F9" w14:textId="0D54DE02" w:rsidR="009A7335" w:rsidRPr="009A7335" w:rsidRDefault="009A7335" w:rsidP="004A401C">
      <w:pPr>
        <w:spacing w:before="120"/>
        <w:rPr>
          <w:sz w:val="24"/>
        </w:rPr>
      </w:pPr>
      <w:r w:rsidRPr="009A7335">
        <w:rPr>
          <w:sz w:val="24"/>
        </w:rPr>
        <w:t xml:space="preserve">Que, mediante el Decreto Legislativo N.° 1412, Decreto </w:t>
      </w:r>
      <w:r w:rsidR="004A401C" w:rsidRPr="009A7335">
        <w:rPr>
          <w:sz w:val="24"/>
        </w:rPr>
        <w:t xml:space="preserve">legislativo </w:t>
      </w:r>
      <w:r w:rsidRPr="009A7335">
        <w:rPr>
          <w:sz w:val="24"/>
        </w:rPr>
        <w:t>que aprueba la Ley de Gobierno Digital, se dispone de un régimen jurídico para el uso y adopción de tecnologías digitales en la administración pública con la finalidad de prestar servicios digitales seguros y sencillos que generen valor para el ciudadano;</w:t>
      </w:r>
    </w:p>
    <w:p w14:paraId="6C5727F4" w14:textId="7900AADF" w:rsidR="009A7335" w:rsidRPr="009A7335" w:rsidRDefault="009A7335" w:rsidP="004A401C">
      <w:pPr>
        <w:spacing w:before="120"/>
        <w:rPr>
          <w:sz w:val="24"/>
        </w:rPr>
      </w:pPr>
      <w:r w:rsidRPr="009A7335">
        <w:rPr>
          <w:sz w:val="24"/>
        </w:rPr>
        <w:t xml:space="preserve">Que, a través de la Resolución N.° 129-2019-Sunarp/SN, se autoriza la puesta en producción de la herramienta de consulta denominada </w:t>
      </w:r>
      <w:r w:rsidR="004A401C">
        <w:rPr>
          <w:sz w:val="24"/>
        </w:rPr>
        <w:t>"</w:t>
      </w:r>
      <w:r w:rsidRPr="009A7335">
        <w:rPr>
          <w:sz w:val="24"/>
        </w:rPr>
        <w:t>Síguelo</w:t>
      </w:r>
      <w:r w:rsidR="004A401C">
        <w:rPr>
          <w:sz w:val="24"/>
        </w:rPr>
        <w:t>"</w:t>
      </w:r>
      <w:r w:rsidRPr="009A7335">
        <w:rPr>
          <w:sz w:val="24"/>
        </w:rPr>
        <w:t>, que permite conocer la trazabilidad del procedimiento de inscripción registral de títulos presentados en cualquier oficina a nivel nacional; haciendo posible acceder y descargar los asientos registrales, anotaciones de inscripción, esquelas, informes técnicos elaborados por las áreas de base gráfica registral y las resoluciones del Tribunal Registral que se generen como consecuencia del procedimiento de inscripción registral;</w:t>
      </w:r>
    </w:p>
    <w:p w14:paraId="55FE3F4A" w14:textId="659A0942" w:rsidR="009A7335" w:rsidRPr="009A7335" w:rsidRDefault="009A7335" w:rsidP="004A401C">
      <w:pPr>
        <w:spacing w:before="120"/>
        <w:rPr>
          <w:sz w:val="24"/>
        </w:rPr>
      </w:pPr>
      <w:r w:rsidRPr="009A7335">
        <w:rPr>
          <w:sz w:val="24"/>
        </w:rPr>
        <w:lastRenderedPageBreak/>
        <w:t xml:space="preserve">Que, mediante la Resolución N.° 008-2021-Sunarp/SN, se autoriza el uso de la plataforma </w:t>
      </w:r>
      <w:r w:rsidR="004A401C">
        <w:rPr>
          <w:sz w:val="24"/>
        </w:rPr>
        <w:t>"</w:t>
      </w:r>
      <w:r w:rsidRPr="009A7335">
        <w:rPr>
          <w:sz w:val="24"/>
        </w:rPr>
        <w:t>Síguelo</w:t>
      </w:r>
      <w:r w:rsidR="004A401C">
        <w:rPr>
          <w:sz w:val="24"/>
        </w:rPr>
        <w:t>"</w:t>
      </w:r>
      <w:r w:rsidRPr="009A7335">
        <w:rPr>
          <w:sz w:val="24"/>
        </w:rPr>
        <w:t xml:space="preserve"> para el seguimiento de determinados certificados de publicidad registral, así como de ciertos servicios prestados en exclusividad regulados en la Directiva N.° 03-2016-Sunarp/SN, Directiva que regula la atención y expedición de información registral que no forma parte del Archivo Registral, aprobado por Resolución N.° 038-2016-Sunarp-SN;</w:t>
      </w:r>
    </w:p>
    <w:p w14:paraId="39865E6D" w14:textId="178DE969" w:rsidR="009A7335" w:rsidRPr="009A7335" w:rsidRDefault="009A7335" w:rsidP="004A401C">
      <w:pPr>
        <w:spacing w:before="120"/>
        <w:rPr>
          <w:sz w:val="24"/>
        </w:rPr>
      </w:pPr>
      <w:r w:rsidRPr="009A7335">
        <w:rPr>
          <w:sz w:val="24"/>
        </w:rPr>
        <w:t xml:space="preserve">Que, con la Resolución N.° 055-2024-Sunarp/SN, se aprueba la nueva denominación de la plataforma </w:t>
      </w:r>
      <w:r w:rsidR="004A401C">
        <w:rPr>
          <w:sz w:val="24"/>
        </w:rPr>
        <w:t>"</w:t>
      </w:r>
      <w:r w:rsidRPr="009A7335">
        <w:rPr>
          <w:sz w:val="24"/>
        </w:rPr>
        <w:t>Síguelo</w:t>
      </w:r>
      <w:r w:rsidR="004A401C">
        <w:rPr>
          <w:sz w:val="24"/>
        </w:rPr>
        <w:t>"</w:t>
      </w:r>
      <w:r w:rsidRPr="009A7335">
        <w:rPr>
          <w:sz w:val="24"/>
        </w:rPr>
        <w:t xml:space="preserve"> a </w:t>
      </w:r>
      <w:r w:rsidR="004A401C">
        <w:rPr>
          <w:sz w:val="24"/>
        </w:rPr>
        <w:t>"</w:t>
      </w:r>
      <w:r w:rsidRPr="009A7335">
        <w:rPr>
          <w:sz w:val="24"/>
        </w:rPr>
        <w:t>Síguelo Plus</w:t>
      </w:r>
      <w:r w:rsidR="004A401C">
        <w:rPr>
          <w:sz w:val="24"/>
        </w:rPr>
        <w:t>"</w:t>
      </w:r>
      <w:r w:rsidRPr="009A7335">
        <w:rPr>
          <w:sz w:val="24"/>
        </w:rPr>
        <w:t>, así como las mejoras funcionales que permiten acceder, de manera virtual, a la lectura del título en trámite y a realizar el pago a cuenta del mismo;</w:t>
      </w:r>
    </w:p>
    <w:p w14:paraId="4630828C" w14:textId="7005D1CD" w:rsidR="009A7335" w:rsidRPr="009A7335" w:rsidRDefault="009A7335" w:rsidP="004A401C">
      <w:pPr>
        <w:spacing w:before="120"/>
        <w:rPr>
          <w:sz w:val="24"/>
        </w:rPr>
      </w:pPr>
      <w:r w:rsidRPr="009A7335">
        <w:rPr>
          <w:sz w:val="24"/>
        </w:rPr>
        <w:t xml:space="preserve">Que, entre las funciones que cumple el </w:t>
      </w:r>
      <w:r w:rsidR="004A401C">
        <w:rPr>
          <w:sz w:val="24"/>
        </w:rPr>
        <w:t>"</w:t>
      </w:r>
      <w:r w:rsidRPr="009A7335">
        <w:rPr>
          <w:sz w:val="24"/>
        </w:rPr>
        <w:t>Síguelo Plus</w:t>
      </w:r>
      <w:r w:rsidR="004A401C">
        <w:rPr>
          <w:sz w:val="24"/>
        </w:rPr>
        <w:t>"</w:t>
      </w:r>
      <w:r w:rsidRPr="009A7335">
        <w:rPr>
          <w:sz w:val="24"/>
        </w:rPr>
        <w:t xml:space="preserve"> se encuentra la trazabilidad integral del título, la cual involucra el trámite del recurso de apelación a efectos que el Tribunal Registral emita pronunciamiento sobre una observación, liquidación o tacha de la solicitud de inscripción por parte de la primera instancia registral;</w:t>
      </w:r>
    </w:p>
    <w:p w14:paraId="63535938" w14:textId="1397BB6E" w:rsidR="009A7335" w:rsidRPr="009A7335" w:rsidRDefault="009A7335" w:rsidP="004A401C">
      <w:pPr>
        <w:spacing w:before="120"/>
        <w:rPr>
          <w:sz w:val="24"/>
        </w:rPr>
      </w:pPr>
      <w:r w:rsidRPr="009A7335">
        <w:rPr>
          <w:sz w:val="24"/>
        </w:rPr>
        <w:t xml:space="preserve">Que, en el marco de dicho seguimiento, se advierte que presentado el recurso de apelación, el </w:t>
      </w:r>
      <w:r w:rsidR="004A401C">
        <w:rPr>
          <w:sz w:val="24"/>
        </w:rPr>
        <w:t>"</w:t>
      </w:r>
      <w:r w:rsidRPr="009A7335">
        <w:rPr>
          <w:sz w:val="24"/>
        </w:rPr>
        <w:t>Síguelo Plus</w:t>
      </w:r>
      <w:r w:rsidR="004A401C">
        <w:rPr>
          <w:sz w:val="24"/>
        </w:rPr>
        <w:t>"</w:t>
      </w:r>
      <w:r w:rsidRPr="009A7335">
        <w:rPr>
          <w:sz w:val="24"/>
        </w:rPr>
        <w:t xml:space="preserve"> no está reflejando la trazabilidad referida a la recepción del recurso impugnatorio por el registrador público para el cumplimiento de lo dispuesto en el artículo 152 del Texto Único Ordenado del Reglamento General de los Registros Públicos, aprobado por Resolución N.° 126-2012-Sunarp/SN y sus modificatorias, tratándose de títulos físicos; así como tampoco se visualiza las resoluciones de prórroga excepcional que, conforme al artículo 159 de dicho cuerpo normativo, emite la presidencia del Tribunal Registral respecto al plazo de treinta (30) días hábiles con que cuenta la</w:t>
      </w:r>
      <w:r w:rsidR="004A401C" w:rsidRPr="009A7335">
        <w:rPr>
          <w:sz w:val="24"/>
        </w:rPr>
        <w:t xml:space="preserve"> sala para resolver;</w:t>
      </w:r>
    </w:p>
    <w:p w14:paraId="07196D3F" w14:textId="6C6402D4" w:rsidR="009A7335" w:rsidRPr="009A7335" w:rsidRDefault="009A7335" w:rsidP="004A401C">
      <w:pPr>
        <w:spacing w:before="120"/>
        <w:rPr>
          <w:sz w:val="24"/>
        </w:rPr>
      </w:pPr>
      <w:r w:rsidRPr="009A7335">
        <w:rPr>
          <w:sz w:val="24"/>
        </w:rPr>
        <w:t xml:space="preserve">Que, en ese contexto, emerge la necesidad de realizar las adecuaciones técnicas a la plataforma </w:t>
      </w:r>
      <w:r w:rsidR="004A401C">
        <w:rPr>
          <w:sz w:val="24"/>
        </w:rPr>
        <w:t>"</w:t>
      </w:r>
      <w:r w:rsidRPr="009A7335">
        <w:rPr>
          <w:sz w:val="24"/>
        </w:rPr>
        <w:t>Síguelo Plus</w:t>
      </w:r>
      <w:r w:rsidR="004A401C">
        <w:rPr>
          <w:sz w:val="24"/>
        </w:rPr>
        <w:t>"</w:t>
      </w:r>
      <w:r w:rsidRPr="009A7335">
        <w:rPr>
          <w:sz w:val="24"/>
        </w:rPr>
        <w:t xml:space="preserve"> a efectos que el administrado cuente con información completa, oportuna y permanente sobre el recorrido que lleva el recurso de apelación una vez interpuesto, lo que involucra la recepción del mismo por parte del registrador público, su derivación a la secretaría del tribunal, el acceso a las resoluciones de prórroga excepcional expedidas por la presidencia del tribunal, de ser el caso, hasta la resolución que resuelve el recurso de apelación; por ello, a través del Informe Técnico N.° 00067-2025-Sunarp/DTR, la Dirección Técnica Registral sustenta la propuesta de mejora funcional en el “Síguelo Plus”, la misma que cuenta con la opinión favorable de la Oficina de Tecnologías de la Información brindada mediante el Memorándum N.° 01007-2025-Sunarp/OTI;</w:t>
      </w:r>
    </w:p>
    <w:p w14:paraId="68A256CC" w14:textId="0CA85CA6" w:rsidR="009A7335" w:rsidRPr="009A7335" w:rsidRDefault="009A7335" w:rsidP="004A401C">
      <w:pPr>
        <w:spacing w:before="120"/>
        <w:rPr>
          <w:sz w:val="24"/>
        </w:rPr>
      </w:pPr>
      <w:r w:rsidRPr="009A7335">
        <w:rPr>
          <w:sz w:val="24"/>
        </w:rPr>
        <w:t xml:space="preserve">Que, con el Informe N.° 00731-2025-Sunarp/OAJ, la Oficina de Asesoría Jurídica concluye que resulta legalmente viable emitir el acto resolutivo que aprueba las mejoras funcionales en la Plataforma </w:t>
      </w:r>
      <w:r w:rsidR="004A401C">
        <w:rPr>
          <w:sz w:val="24"/>
        </w:rPr>
        <w:t>"</w:t>
      </w:r>
      <w:r w:rsidRPr="009A7335">
        <w:rPr>
          <w:sz w:val="24"/>
        </w:rPr>
        <w:t>Síguelo Plus</w:t>
      </w:r>
      <w:r w:rsidR="004A401C">
        <w:rPr>
          <w:sz w:val="24"/>
        </w:rPr>
        <w:t>"</w:t>
      </w:r>
      <w:r w:rsidRPr="009A7335">
        <w:rPr>
          <w:sz w:val="24"/>
        </w:rPr>
        <w:t>; asimismo, precisa que el acto resolutivo corresponde sea emitido por la Superintendencia Nacional, de conformidad con lo dispuesto en los literales i) e y) del artículo 11 del Texto Integrado del Reglamento de Organización y Funciones de la Sunarp, y que tiene mérito para ser publicado en el Diario Oficial El Peruano, conforme a lo dispuesto en el Decreto Supremo N.° 009-2024-JUS;</w:t>
      </w:r>
    </w:p>
    <w:p w14:paraId="1A9DF4FB" w14:textId="344BF0EF" w:rsidR="009A7335" w:rsidRPr="009A7335" w:rsidRDefault="009A7335" w:rsidP="004A401C">
      <w:pPr>
        <w:spacing w:before="120"/>
        <w:rPr>
          <w:sz w:val="24"/>
        </w:rPr>
      </w:pPr>
      <w:r w:rsidRPr="009A7335">
        <w:rPr>
          <w:sz w:val="24"/>
        </w:rPr>
        <w:lastRenderedPageBreak/>
        <w:t>De conformidad con el Texto Integrado del Reglamento de Organización y Funciones de la Sunarp, actualizado por la Resolución N.° 00125-2024-Sunarp-SN; y, contando con el visado de la Gerencia General, la Dirección Técnica Registral, la Oficina de Tecnologías de la Información, y la Oficina de Asesoría Jurídica;</w:t>
      </w:r>
    </w:p>
    <w:p w14:paraId="0621EA4A" w14:textId="7A38BDDB" w:rsidR="009A7335" w:rsidRPr="009A7335" w:rsidRDefault="009A7335" w:rsidP="004A401C">
      <w:pPr>
        <w:spacing w:before="120"/>
        <w:rPr>
          <w:sz w:val="24"/>
        </w:rPr>
      </w:pPr>
      <w:r w:rsidRPr="009A7335">
        <w:rPr>
          <w:sz w:val="24"/>
        </w:rPr>
        <w:t>Se resuelve:</w:t>
      </w:r>
    </w:p>
    <w:p w14:paraId="3CC9C545" w14:textId="1DFCAFF4" w:rsidR="009A7335" w:rsidRPr="009A7335" w:rsidRDefault="009A7335" w:rsidP="004A401C">
      <w:pPr>
        <w:spacing w:before="120"/>
        <w:rPr>
          <w:sz w:val="24"/>
        </w:rPr>
      </w:pPr>
      <w:r w:rsidRPr="009A7335">
        <w:rPr>
          <w:sz w:val="24"/>
        </w:rPr>
        <w:t xml:space="preserve">Artículo 1°.- </w:t>
      </w:r>
      <w:r w:rsidRPr="009A7335">
        <w:rPr>
          <w:b/>
          <w:bCs/>
          <w:sz w:val="24"/>
        </w:rPr>
        <w:t xml:space="preserve">Aprobación de las mejoras funcionales en la Plataforma </w:t>
      </w:r>
      <w:r w:rsidR="004A401C">
        <w:rPr>
          <w:b/>
          <w:bCs/>
          <w:sz w:val="24"/>
        </w:rPr>
        <w:t>"</w:t>
      </w:r>
      <w:r w:rsidRPr="009A7335">
        <w:rPr>
          <w:b/>
          <w:bCs/>
          <w:sz w:val="24"/>
        </w:rPr>
        <w:t>Síguelo Plus</w:t>
      </w:r>
      <w:r w:rsidR="004A401C">
        <w:rPr>
          <w:b/>
          <w:bCs/>
          <w:sz w:val="24"/>
        </w:rPr>
        <w:t>"</w:t>
      </w:r>
      <w:r w:rsidRPr="009A7335">
        <w:rPr>
          <w:b/>
          <w:bCs/>
          <w:sz w:val="24"/>
        </w:rPr>
        <w:t xml:space="preserve">. </w:t>
      </w:r>
      <w:r w:rsidRPr="009A7335">
        <w:rPr>
          <w:sz w:val="24"/>
        </w:rPr>
        <w:t xml:space="preserve">Aprobar las mejoras funcionales en la plataforma </w:t>
      </w:r>
      <w:r w:rsidR="004A401C">
        <w:rPr>
          <w:sz w:val="24"/>
        </w:rPr>
        <w:t>"</w:t>
      </w:r>
      <w:r w:rsidRPr="009A7335">
        <w:rPr>
          <w:sz w:val="24"/>
        </w:rPr>
        <w:t>Síguelo Plus</w:t>
      </w:r>
      <w:r w:rsidR="004A401C">
        <w:rPr>
          <w:sz w:val="24"/>
        </w:rPr>
        <w:t>"</w:t>
      </w:r>
      <w:r w:rsidRPr="009A7335">
        <w:rPr>
          <w:sz w:val="24"/>
        </w:rPr>
        <w:t>, las cuales permitirán al administrado visualizar la siguiente información referida al trámite del recurso de apelación:</w:t>
      </w:r>
    </w:p>
    <w:p w14:paraId="0F8773BB" w14:textId="77777777" w:rsidR="009A7335" w:rsidRPr="009A7335" w:rsidRDefault="009A7335" w:rsidP="004A401C">
      <w:pPr>
        <w:spacing w:before="120"/>
        <w:rPr>
          <w:sz w:val="24"/>
        </w:rPr>
      </w:pPr>
      <w:r w:rsidRPr="009A7335">
        <w:rPr>
          <w:sz w:val="24"/>
        </w:rPr>
        <w:t>a) Fecha de derivación del recurso de apelación a la sección registral;</w:t>
      </w:r>
    </w:p>
    <w:p w14:paraId="064163EB" w14:textId="77777777" w:rsidR="009A7335" w:rsidRPr="009A7335" w:rsidRDefault="009A7335" w:rsidP="004A401C">
      <w:pPr>
        <w:spacing w:before="120"/>
        <w:rPr>
          <w:sz w:val="24"/>
        </w:rPr>
      </w:pPr>
      <w:r w:rsidRPr="009A7335">
        <w:rPr>
          <w:sz w:val="24"/>
        </w:rPr>
        <w:t>b) Fecha de ingreso del recurso de apelación a la Secretaría del Tribunal Registral con la fecha máxima para que se emita la resolución;</w:t>
      </w:r>
    </w:p>
    <w:p w14:paraId="25CD4759" w14:textId="4DE30B50" w:rsidR="009A7335" w:rsidRPr="009A7335" w:rsidRDefault="009A7335" w:rsidP="004A401C">
      <w:pPr>
        <w:spacing w:before="120"/>
        <w:rPr>
          <w:sz w:val="24"/>
        </w:rPr>
      </w:pPr>
      <w:r w:rsidRPr="009A7335">
        <w:rPr>
          <w:sz w:val="24"/>
        </w:rPr>
        <w:t xml:space="preserve">c) El acceso y descarga de la resolución de prórroga excepcional emitida por la </w:t>
      </w:r>
      <w:r w:rsidR="004A401C" w:rsidRPr="009A7335">
        <w:rPr>
          <w:sz w:val="24"/>
        </w:rPr>
        <w:t xml:space="preserve">presidencia </w:t>
      </w:r>
      <w:r w:rsidRPr="009A7335">
        <w:rPr>
          <w:sz w:val="24"/>
        </w:rPr>
        <w:t>del Tribunal Registral, de corresponder.</w:t>
      </w:r>
    </w:p>
    <w:p w14:paraId="330CF81B" w14:textId="2447F66D" w:rsidR="009A7335" w:rsidRPr="009A7335" w:rsidRDefault="009A7335" w:rsidP="004A401C">
      <w:pPr>
        <w:spacing w:before="120"/>
        <w:rPr>
          <w:sz w:val="24"/>
        </w:rPr>
      </w:pPr>
      <w:r w:rsidRPr="009A7335">
        <w:rPr>
          <w:sz w:val="24"/>
        </w:rPr>
        <w:t xml:space="preserve">Artículo 2°.- </w:t>
      </w:r>
      <w:r w:rsidRPr="009A7335">
        <w:rPr>
          <w:b/>
          <w:bCs/>
          <w:sz w:val="24"/>
        </w:rPr>
        <w:t xml:space="preserve">Entrada en vigencia. </w:t>
      </w:r>
      <w:r w:rsidRPr="009A7335">
        <w:rPr>
          <w:sz w:val="24"/>
        </w:rPr>
        <w:t>La presente resolución entra en vigencia el 1 de agosto del 2025.</w:t>
      </w:r>
    </w:p>
    <w:p w14:paraId="07878853" w14:textId="4EAD29C9" w:rsidR="009A7335" w:rsidRPr="009A7335" w:rsidRDefault="009A7335" w:rsidP="004A401C">
      <w:pPr>
        <w:spacing w:before="120"/>
        <w:rPr>
          <w:sz w:val="24"/>
        </w:rPr>
      </w:pPr>
      <w:r w:rsidRPr="009A7335">
        <w:rPr>
          <w:sz w:val="24"/>
        </w:rPr>
        <w:t xml:space="preserve">Artículo 3°.- </w:t>
      </w:r>
      <w:r w:rsidRPr="009A7335">
        <w:rPr>
          <w:b/>
          <w:bCs/>
          <w:sz w:val="24"/>
        </w:rPr>
        <w:t xml:space="preserve">Publicación. </w:t>
      </w:r>
      <w:r w:rsidRPr="009A7335">
        <w:rPr>
          <w:sz w:val="24"/>
        </w:rPr>
        <w:t>Disponer que la presente resolución se publique en la sede digital de la Superintendencia Nacional de los Registros Públicos (www.gob.pe/sunarp), el mismo día de su publicación en el Diario Oficial El Peruano.</w:t>
      </w:r>
    </w:p>
    <w:p w14:paraId="20E85E8A" w14:textId="77777777" w:rsidR="009A7335" w:rsidRPr="009A7335" w:rsidRDefault="009A7335" w:rsidP="004A401C">
      <w:pPr>
        <w:spacing w:before="120"/>
        <w:rPr>
          <w:sz w:val="24"/>
        </w:rPr>
      </w:pPr>
      <w:r w:rsidRPr="009A7335">
        <w:rPr>
          <w:sz w:val="24"/>
        </w:rPr>
        <w:t>Regístrese, comuníquese y publíquese.</w:t>
      </w:r>
    </w:p>
    <w:p w14:paraId="73849AAE" w14:textId="738820C4" w:rsidR="009A7335" w:rsidRPr="009A7335" w:rsidRDefault="009A7335" w:rsidP="004A401C">
      <w:pPr>
        <w:spacing w:before="120"/>
        <w:rPr>
          <w:sz w:val="24"/>
        </w:rPr>
      </w:pPr>
      <w:r w:rsidRPr="009A7335">
        <w:rPr>
          <w:sz w:val="24"/>
        </w:rPr>
        <w:t>Armando Miguel Subauste Bracesco</w:t>
      </w:r>
    </w:p>
    <w:p w14:paraId="12C32B3E" w14:textId="2D534E82" w:rsidR="002017D0" w:rsidRDefault="009A7335" w:rsidP="004A401C">
      <w:pPr>
        <w:spacing w:before="120"/>
      </w:pPr>
      <w:r w:rsidRPr="009A7335">
        <w:rPr>
          <w:sz w:val="24"/>
        </w:rPr>
        <w:t>Superintendente Nacional de los Registros Públicos</w:t>
      </w:r>
    </w:p>
    <w:p w14:paraId="19BFC78C" w14:textId="73E0B6B6" w:rsidR="009A7335" w:rsidRDefault="009A7335" w:rsidP="004A401C">
      <w:pPr>
        <w:spacing w:before="120"/>
        <w:jc w:val="center"/>
      </w:pPr>
      <w:r w:rsidRPr="009A7335">
        <w:t xml:space="preserve">Documento publicado en el Diario Oficial </w:t>
      </w:r>
      <w:r w:rsidR="004A401C">
        <w:t>"</w:t>
      </w:r>
      <w:r w:rsidRPr="009A7335">
        <w:t>El Peruano</w:t>
      </w:r>
      <w:r w:rsidR="004A401C">
        <w:t>"</w:t>
      </w:r>
      <w:r w:rsidRPr="009A7335">
        <w:t xml:space="preserve"> el 31 de julio del 2025.</w:t>
      </w:r>
    </w:p>
    <w:sectPr w:rsidR="009A733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D11F2" w14:textId="77777777" w:rsidR="00EC42FE" w:rsidRDefault="00EC42FE" w:rsidP="009A7335">
      <w:r>
        <w:separator/>
      </w:r>
    </w:p>
  </w:endnote>
  <w:endnote w:type="continuationSeparator" w:id="0">
    <w:p w14:paraId="1D99E335" w14:textId="77777777" w:rsidR="00EC42FE" w:rsidRDefault="00EC42FE" w:rsidP="009A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9B33" w14:textId="090A551C" w:rsidR="009A7335" w:rsidRPr="004A401C" w:rsidRDefault="009A7335" w:rsidP="004A401C">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55C8769" wp14:editId="4B0D12BD">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EEF71" w14:textId="77777777" w:rsidR="00EC42FE" w:rsidRDefault="00EC42FE" w:rsidP="009A7335">
      <w:r>
        <w:separator/>
      </w:r>
    </w:p>
  </w:footnote>
  <w:footnote w:type="continuationSeparator" w:id="0">
    <w:p w14:paraId="796F432A" w14:textId="77777777" w:rsidR="00EC42FE" w:rsidRDefault="00EC42FE" w:rsidP="009A7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4AEC" w14:textId="01AB461F" w:rsidR="009A7335" w:rsidRDefault="009A7335" w:rsidP="004A401C">
    <w:pPr>
      <w:pStyle w:val="Encabezado"/>
      <w:spacing w:after="240"/>
    </w:pPr>
    <w:r>
      <w:rPr>
        <w:noProof/>
        <w:lang w:eastAsia="es-PE"/>
      </w:rPr>
      <w:drawing>
        <wp:inline distT="0" distB="0" distL="0" distR="0" wp14:anchorId="544E1F2B" wp14:editId="30B743A8">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35"/>
    <w:rsid w:val="0002405D"/>
    <w:rsid w:val="00042F4D"/>
    <w:rsid w:val="000526BE"/>
    <w:rsid w:val="00096CEC"/>
    <w:rsid w:val="00133291"/>
    <w:rsid w:val="002017D0"/>
    <w:rsid w:val="004A401C"/>
    <w:rsid w:val="00580259"/>
    <w:rsid w:val="00615327"/>
    <w:rsid w:val="007F0EA7"/>
    <w:rsid w:val="008066EB"/>
    <w:rsid w:val="008F2267"/>
    <w:rsid w:val="009A7335"/>
    <w:rsid w:val="00AA3083"/>
    <w:rsid w:val="00BB3261"/>
    <w:rsid w:val="00C32D53"/>
    <w:rsid w:val="00D361DE"/>
    <w:rsid w:val="00EC42F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9A7335"/>
    <w:pPr>
      <w:tabs>
        <w:tab w:val="center" w:pos="4252"/>
        <w:tab w:val="right" w:pos="8504"/>
      </w:tabs>
    </w:pPr>
  </w:style>
  <w:style w:type="character" w:customStyle="1" w:styleId="EncabezadoCar">
    <w:name w:val="Encabezado Car"/>
    <w:basedOn w:val="Fuentedeprrafopredeter"/>
    <w:link w:val="Encabezado"/>
    <w:uiPriority w:val="99"/>
    <w:rsid w:val="009A7335"/>
    <w:rPr>
      <w:rFonts w:ascii="Arial" w:hAnsi="Arial"/>
      <w:sz w:val="20"/>
    </w:rPr>
  </w:style>
  <w:style w:type="paragraph" w:styleId="Piedepgina">
    <w:name w:val="footer"/>
    <w:basedOn w:val="Normal"/>
    <w:link w:val="PiedepginaCar"/>
    <w:uiPriority w:val="99"/>
    <w:unhideWhenUsed/>
    <w:rsid w:val="009A7335"/>
    <w:pPr>
      <w:tabs>
        <w:tab w:val="center" w:pos="4252"/>
        <w:tab w:val="right" w:pos="8504"/>
      </w:tabs>
    </w:pPr>
  </w:style>
  <w:style w:type="character" w:customStyle="1" w:styleId="PiedepginaCar">
    <w:name w:val="Pie de página Car"/>
    <w:basedOn w:val="Fuentedeprrafopredeter"/>
    <w:link w:val="Piedepgina"/>
    <w:uiPriority w:val="99"/>
    <w:rsid w:val="009A7335"/>
    <w:rPr>
      <w:rFonts w:ascii="Arial" w:hAnsi="Arial"/>
      <w:sz w:val="20"/>
    </w:rPr>
  </w:style>
  <w:style w:type="paragraph" w:styleId="Textodeglobo">
    <w:name w:val="Balloon Text"/>
    <w:basedOn w:val="Normal"/>
    <w:link w:val="TextodegloboCar"/>
    <w:uiPriority w:val="99"/>
    <w:semiHidden/>
    <w:unhideWhenUsed/>
    <w:rsid w:val="004A401C"/>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9A7335"/>
    <w:pPr>
      <w:tabs>
        <w:tab w:val="center" w:pos="4252"/>
        <w:tab w:val="right" w:pos="8504"/>
      </w:tabs>
    </w:pPr>
  </w:style>
  <w:style w:type="character" w:customStyle="1" w:styleId="EncabezadoCar">
    <w:name w:val="Encabezado Car"/>
    <w:basedOn w:val="Fuentedeprrafopredeter"/>
    <w:link w:val="Encabezado"/>
    <w:uiPriority w:val="99"/>
    <w:rsid w:val="009A7335"/>
    <w:rPr>
      <w:rFonts w:ascii="Arial" w:hAnsi="Arial"/>
      <w:sz w:val="20"/>
    </w:rPr>
  </w:style>
  <w:style w:type="paragraph" w:styleId="Piedepgina">
    <w:name w:val="footer"/>
    <w:basedOn w:val="Normal"/>
    <w:link w:val="PiedepginaCar"/>
    <w:uiPriority w:val="99"/>
    <w:unhideWhenUsed/>
    <w:rsid w:val="009A7335"/>
    <w:pPr>
      <w:tabs>
        <w:tab w:val="center" w:pos="4252"/>
        <w:tab w:val="right" w:pos="8504"/>
      </w:tabs>
    </w:pPr>
  </w:style>
  <w:style w:type="character" w:customStyle="1" w:styleId="PiedepginaCar">
    <w:name w:val="Pie de página Car"/>
    <w:basedOn w:val="Fuentedeprrafopredeter"/>
    <w:link w:val="Piedepgina"/>
    <w:uiPriority w:val="99"/>
    <w:rsid w:val="009A7335"/>
    <w:rPr>
      <w:rFonts w:ascii="Arial" w:hAnsi="Arial"/>
      <w:sz w:val="20"/>
    </w:rPr>
  </w:style>
  <w:style w:type="paragraph" w:styleId="Textodeglobo">
    <w:name w:val="Balloon Text"/>
    <w:basedOn w:val="Normal"/>
    <w:link w:val="TextodegloboCar"/>
    <w:uiPriority w:val="99"/>
    <w:semiHidden/>
    <w:unhideWhenUsed/>
    <w:rsid w:val="004A401C"/>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1164</Words>
  <Characters>6402</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2025-07-31T16:57:00Z</dcterms:created>
  <dcterms:modified xsi:type="dcterms:W3CDTF">2025-08-01T03:43:00Z</dcterms:modified>
</cp:coreProperties>
</file>