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E63B7" w14:textId="0263BD1E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bookmarkStart w:id="0" w:name="_GoBack"/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establece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beneficios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municipal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Borja</w:t>
      </w:r>
    </w:p>
    <w:p w14:paraId="76ED3F9E" w14:textId="0B54A542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731-2025-MSB</w:t>
      </w:r>
    </w:p>
    <w:p w14:paraId="493D9A96" w14:textId="648D4DA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25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junio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2025</w:t>
      </w:r>
    </w:p>
    <w:p w14:paraId="5B603DB7" w14:textId="25CD59E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alcalde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</w:t>
      </w:r>
    </w:p>
    <w:p w14:paraId="162C6B6D" w14:textId="57A3485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cuanto:</w:t>
      </w:r>
    </w:p>
    <w:p w14:paraId="4121F530" w14:textId="5011CBAE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Concejo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XII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Ordinaria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Concejo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fecha;</w:t>
      </w:r>
    </w:p>
    <w:p w14:paraId="4EC7FBF1" w14:textId="0B41F35E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facultades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numeral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9°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concordancia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40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Orgánica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Municipalidades,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27972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opiniones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vertidas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dictámenes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039-2025-MSB-CAL,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035-2025-MSB-CER,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011-2025-MSB-CDU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019-2025-MSB-CPV,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Asuntos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Legales,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Economía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Rentas,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Desarrollo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Participación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Vecinal,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respectivamente,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propone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pleno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Concejo,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Beneficios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Concejo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unanimidad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dispensa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trámite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lectura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Acta,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aprobó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siguiente:</w:t>
      </w:r>
    </w:p>
    <w:p w14:paraId="72D4C9BD" w14:textId="60C0A0CF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establece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beneficios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municipal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Borja</w:t>
      </w:r>
    </w:p>
    <w:p w14:paraId="684C528A" w14:textId="0CD1A49D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Capítulo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I</w:t>
      </w:r>
    </w:p>
    <w:p w14:paraId="283D0750" w14:textId="0BD81AA7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Disposiciones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generales</w:t>
      </w:r>
    </w:p>
    <w:p w14:paraId="6DC07D21" w14:textId="05DE0129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1°.-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Objeto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finalidad.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tiene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objeto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especial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simplificado,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periodo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extraordinario,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e</w:t>
      </w:r>
      <w:r w:rsidR="00504ED6" w:rsidRPr="00AE1232">
        <w:rPr>
          <w:rFonts w:eastAsia="Times New Roman" w:cs="Arial"/>
          <w:strike/>
          <w:color w:val="000000"/>
          <w:sz w:val="24"/>
          <w:szCs w:val="20"/>
          <w:lang w:eastAsia="es-PE"/>
        </w:rPr>
        <w:t>j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Nueva,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Ampliación,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Remodelación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Demolición,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residenciales,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comerciales,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oficinas,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hospedaje,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educación,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salud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localicen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zonificación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hayan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periodo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comprendido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18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setiembre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2018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31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diciembre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2023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Nacional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RNE,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Parámetros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Urbanísticos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Edificatorios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requisitos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marco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tramitándose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iniciado,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último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norma.</w:t>
      </w:r>
    </w:p>
    <w:p w14:paraId="0C8D4983" w14:textId="395A54D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01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enero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2017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17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septiembre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2018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correspondiente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objeto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siempre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fecha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favorable,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dispuesto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82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Decreto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Supremo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029-2019-Vivienda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aprueba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Edificación.</w:t>
      </w:r>
    </w:p>
    <w:p w14:paraId="2349D712" w14:textId="24C434E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31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diciembre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2016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fábrica,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independización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interno,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sanear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situación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acuerdo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3°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Ley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u w:val="single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u w:val="single"/>
          <w:lang w:eastAsia="es-PE"/>
        </w:rPr>
        <w:t>27157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Fábrica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Régimen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Unidades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Inmobiliarias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Exclusiva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Común.</w:t>
      </w:r>
    </w:p>
    <w:p w14:paraId="62CC9505" w14:textId="616DA822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tiene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permitir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solicitantes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saneamiento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físico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legal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revalorización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autorización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través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permitirá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actualizar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sincerar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territorial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desarrollo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distrito.</w:t>
      </w:r>
    </w:p>
    <w:p w14:paraId="3D123DD2" w14:textId="5C3F1DA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2°.-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Ámbito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alcances.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disposiciones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jurisdicción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acogerse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aquellas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personas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naturales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jurídicas,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tengan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propietarios,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derecho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quienes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entre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18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setiembre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2018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31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diciembre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2023,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hayan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nuevas,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ampliación,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remodelación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demolición,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culminadas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multifamiliares,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habitable,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además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salvedades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descritas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primer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tercer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ampliaciones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remodelaciones,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acreditar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preexistente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Edificación.</w:t>
      </w:r>
    </w:p>
    <w:p w14:paraId="7FDA86D0" w14:textId="1F34FFC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también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otorgamiento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cabe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precisar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sujeto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silencio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negativo.</w:t>
      </w:r>
    </w:p>
    <w:p w14:paraId="7D72DE7B" w14:textId="0D0AD91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aquellos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ubiquen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Zonificación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Especial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(ZRE-1,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ZRE-2,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ZRE-3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ZRE-4);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ubicados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Conjunto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Habitacional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Torres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Limatambo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Torres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características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diferentes;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asimismo,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incluye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calificados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rústicos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registral;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contravención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urbanísticas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afecten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ambiente;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ubiquen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dominio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(jardines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aislamiento,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avenidas,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jirones,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pasajes,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parques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jardines,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etc.)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reserva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interés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nacional,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local;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riesgo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salud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integridad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física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usuarios;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riesgo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inminente;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bienes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inmuebles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interés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arqueológico,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histórico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integrantes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Patrimonio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Cultural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Ministerio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Cultura.</w:t>
      </w:r>
    </w:p>
    <w:p w14:paraId="105D0AB2" w14:textId="213EA59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3°.-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Condiciones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acogerse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ordenanza.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acogerse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Recepción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también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acogerse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formalizados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Organismo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Formalización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Cofopri</w:t>
      </w:r>
      <w:proofErr w:type="spellEnd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cuya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Resolución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formalización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manera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expresa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Recepción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Urbana.</w:t>
      </w:r>
    </w:p>
    <w:p w14:paraId="5C700CDA" w14:textId="4A9CEFB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aquellos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advierta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Recepción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previamente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respectivo,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</w:p>
    <w:p w14:paraId="51A9FE41" w14:textId="27E6BB2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multifamiliares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habitable,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definido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Nacional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Texto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Único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29090;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siempre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ocupando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retiros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jardines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aislamiento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descritas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continuación:</w:t>
      </w:r>
    </w:p>
    <w:p w14:paraId="018BF582" w14:textId="4A9240D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revocados,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falsos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terminados,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instalaciones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sanitarias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eléctricas,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instalaciones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aparatos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sanitarios,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puertas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ventanas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vidrios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cristales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colocados,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puerta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baño,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fachadas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concluidas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(frontal,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laterales,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posterior)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tarrajeo</w:t>
      </w:r>
      <w:proofErr w:type="spellEnd"/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enchape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laterales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colindantes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terceros,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tarrajeo</w:t>
      </w:r>
      <w:proofErr w:type="spellEnd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pañeteado</w:t>
      </w:r>
      <w:proofErr w:type="spellEnd"/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escarchado.</w:t>
      </w:r>
    </w:p>
    <w:p w14:paraId="7156334C" w14:textId="1A1DFB5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Sistema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Constructivo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empleado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ajuste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Nacional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Edificaciones.</w:t>
      </w:r>
    </w:p>
    <w:p w14:paraId="12FAD7DC" w14:textId="5D2117F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3.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Nacional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aquello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</w:p>
    <w:p w14:paraId="3C37CB7E" w14:textId="27C8404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4.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comunes,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bienes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servicios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estructuras,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fachadas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equipamiento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ascensores,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sistema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bombeo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agua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incendios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agua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potable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completo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servicio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impedimento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circulación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horizontal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vertical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personas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través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pasadizos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escaleras.</w:t>
      </w:r>
    </w:p>
    <w:p w14:paraId="19E6C187" w14:textId="14992932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4°.-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Unidades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orgánicas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competentes.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SOP,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adscrita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Desarrollo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Catastro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GDUC,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orgánica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competente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</w:p>
    <w:p w14:paraId="449B1961" w14:textId="4F361A31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orgánica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responsable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llevar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cabo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quien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actúa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primera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Desarrollo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Catastro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segunda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última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agotándose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ello,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administrativa.</w:t>
      </w:r>
    </w:p>
    <w:p w14:paraId="0D2F4F13" w14:textId="5F9942E0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5°.-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Vigencia.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acogerse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tiene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ochenta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(180)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calendarios,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publicación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Diario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Oficial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Peruano.</w:t>
      </w:r>
    </w:p>
    <w:p w14:paraId="79E6DC8A" w14:textId="40A940E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6°.-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Definiciones.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efectos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tomar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siguientes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definiciones:</w:t>
      </w:r>
    </w:p>
    <w:p w14:paraId="28A7A4D4" w14:textId="5B2DF56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Administrado.-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Persona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natural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jurídica,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propietario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inmueble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trámite,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derechos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predio.</w:t>
      </w:r>
    </w:p>
    <w:p w14:paraId="426B14E2" w14:textId="5B5E48E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Alero.-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sobresale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soporte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estructural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decorativo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edificación.</w:t>
      </w:r>
    </w:p>
    <w:p w14:paraId="210D00F7" w14:textId="4C4C95FA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3.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Alineamiento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fachada.-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determina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colindantes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accede.</w:t>
      </w:r>
    </w:p>
    <w:p w14:paraId="0AEAB590" w14:textId="724F0AB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4.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Altura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edificación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dimensión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vertical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mide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vereda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frente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existir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vereda,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mide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superficie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superior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calzada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0.15m.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ingreso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esquina,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tomará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esquina.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total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incluye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parapeto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superior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último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edificado.</w:t>
      </w:r>
    </w:p>
    <w:p w14:paraId="694400C5" w14:textId="0B9B865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5.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Ampliación.-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incrementando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cantidad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cuadrados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preexistente,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lote.</w:t>
      </w:r>
    </w:p>
    <w:p w14:paraId="70DE6CE4" w14:textId="5C41896B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6.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libre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superficie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terreno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existen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proyecciones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calcula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sumando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superficies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comprendidas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linderos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poligonales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definidas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proyecciones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terreno,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propiedad.</w:t>
      </w:r>
    </w:p>
    <w:p w14:paraId="2004532D" w14:textId="44190C1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techada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Superficie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calcula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sumando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proyección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poligonal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encierra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espacios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mayor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calcula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proyecta.</w:t>
      </w:r>
    </w:p>
    <w:p w14:paraId="60F7B1FF" w14:textId="7A5F4D1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techada:</w:t>
      </w:r>
    </w:p>
    <w:p w14:paraId="19747CE0" w14:textId="4330101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Ductos;</w:t>
      </w:r>
    </w:p>
    <w:p w14:paraId="24E74CCE" w14:textId="16683B9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ii)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Cisternas,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tanques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agua,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cuartos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máquinas,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espacios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equipos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donde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ingresen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personas;</w:t>
      </w:r>
    </w:p>
    <w:p w14:paraId="587A53D9" w14:textId="79EC321E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iii)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Aleros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tienen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protección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lluvia,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cornisas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elementos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descubiertos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balcones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jardineras;</w:t>
      </w:r>
    </w:p>
    <w:p w14:paraId="67EFA3F1" w14:textId="7F755B1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iv)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Cubiertas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vidrio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cualquier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transparente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traslucido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espesor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menor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mm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cubran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patios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terrazas.</w:t>
      </w:r>
    </w:p>
    <w:p w14:paraId="6F7134E8" w14:textId="6EE81C21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8.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Azotea.-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habitable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último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común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mixto,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desarrollo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actividades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recreativas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complementarias,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acceder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escalera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principal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escalera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última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inmobiliaria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edificio,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según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corresponda.</w:t>
      </w:r>
    </w:p>
    <w:p w14:paraId="650798BF" w14:textId="1F284BB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9.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Casco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habitable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mínima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habitable,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estructuras,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revocados,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falsos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contrapisos</w:t>
      </w:r>
      <w:proofErr w:type="spellEnd"/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terminados,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instalaciones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sanitarias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eléctricas,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instalaciones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aparatos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sanitarios,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puertas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ventanas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vidrios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cristales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colocados,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puerta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baño,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fachadas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concluidas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(frontal,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laterales,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posterior)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tarrajeo</w:t>
      </w:r>
      <w:proofErr w:type="spellEnd"/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enchape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laterales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colindantes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terceros,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tarrajeo</w:t>
      </w:r>
      <w:proofErr w:type="spellEnd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pañeteado</w:t>
      </w:r>
      <w:proofErr w:type="spellEnd"/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escarchado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exigencia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pintura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comunes,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equipamiento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ascensores,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sistema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bombeo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agua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incendios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agua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potable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completo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servicio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impedimento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circulación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horizontal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vertical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personas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través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pasadizos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escaleras.</w:t>
      </w:r>
    </w:p>
    <w:p w14:paraId="6F7BC9F3" w14:textId="4144C73E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10.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Cerco: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cierre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delimita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espacios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abiertos.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opaco,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traslucido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transparente.</w:t>
      </w:r>
    </w:p>
    <w:p w14:paraId="7AFF6510" w14:textId="1DD7537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11.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Certificado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Parámetros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Urbanísticos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Edificatorios.-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emitido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municipalidades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previo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tasa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correspondiente,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emitido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máximo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cinco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(05)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hábiles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treinta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seis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(36)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meses,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especificarán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parámetros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edificatorios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proyectos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contiene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urbanística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momento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expedición;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sujeta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</w:p>
    <w:p w14:paraId="32D50555" w14:textId="674584C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12.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Colindancia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altura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adicional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adquiere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colinda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preexistente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mayor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mismo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frente.</w:t>
      </w:r>
    </w:p>
    <w:p w14:paraId="313A64B9" w14:textId="12D87C1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13.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obra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inspección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ocular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finalizada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Luego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dé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recién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realizar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trámite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nueva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Públicos.</w:t>
      </w:r>
    </w:p>
    <w:p w14:paraId="2836D4B1" w14:textId="46C127E0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14.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Cubierta: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ligero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sirve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cerramiento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protección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exposición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directa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agentes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libres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patios,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azoteas,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accesos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peatonales.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ligero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techada.</w:t>
      </w:r>
    </w:p>
    <w:p w14:paraId="5A8A48B7" w14:textId="7C3FBB8B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15.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edificación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donde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consignan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características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obra.</w:t>
      </w:r>
    </w:p>
    <w:p w14:paraId="06147A16" w14:textId="498CBA0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16.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Demolición.-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elimina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manera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planificada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ingeniería.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incluye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remociones,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desmontajes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desarmados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parcial,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eliminar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parcialmente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estructuras;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total,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eliminar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totalidad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edificación.</w:t>
      </w:r>
    </w:p>
    <w:p w14:paraId="5A9C5D28" w14:textId="2DAC28CA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17.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nueva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totalmente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(...)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resultantes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urbana.</w:t>
      </w:r>
    </w:p>
    <w:p w14:paraId="3BAEA617" w14:textId="550F5E5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18.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Edificio.-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resulta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edificatorio,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carácter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permanente,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cuyo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destino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albergar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persona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desarrollo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sus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actividades,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fábrica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edificación.</w:t>
      </w:r>
    </w:p>
    <w:p w14:paraId="3626A309" w14:textId="4D38241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19.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Edificio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preexistente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cuyo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tratamiento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intervención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realizarse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dicha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favorable,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actual.</w:t>
      </w:r>
    </w:p>
    <w:p w14:paraId="03497294" w14:textId="57DA73F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20.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Espacio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público: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destinado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circulación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recreación.</w:t>
      </w:r>
    </w:p>
    <w:p w14:paraId="33BD573B" w14:textId="20588761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21.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Expediente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Urbanas.-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física,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contiene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requisitos,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constituido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formularios,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memorias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descriptivas,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requerido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atención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Urbanas.</w:t>
      </w:r>
    </w:p>
    <w:p w14:paraId="01C84682" w14:textId="66609042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22.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urbana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convertir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terreno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rústico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eriazo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accesibilidad,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saneamiento,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distribución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energía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eléctrica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iluminación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adicional,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distribución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comunicaciones;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genera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aportes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obligatorios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gratuitos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recreación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así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servicios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complementarios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educación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bienes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dominio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susceptibles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Predios.</w:t>
      </w:r>
    </w:p>
    <w:p w14:paraId="7B45AC0F" w14:textId="2D358CE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23.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Jardín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aislamiento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Componente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destinada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entre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vereda.</w:t>
      </w:r>
    </w:p>
    <w:p w14:paraId="3AE6BC8E" w14:textId="43FF35CE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24.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regularizar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nueva,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ampliación,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remodelación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demolición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legalmente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autoridad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municipal.</w:t>
      </w:r>
    </w:p>
    <w:p w14:paraId="40DC5CCB" w14:textId="233F638F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25.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Lote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normativo: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delimitado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poligonal,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superficie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mínima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acuerdo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zonificación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densidad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suelo.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Sirve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diseño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subdivisión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lotes.</w:t>
      </w:r>
    </w:p>
    <w:p w14:paraId="60E09CFA" w14:textId="0432EBC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26.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Mezanine</w:t>
      </w:r>
      <w:proofErr w:type="spellEnd"/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habitable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totalidad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inferior,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creando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espacio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mayor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superficie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excede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30%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espacio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donde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proyección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piso.</w:t>
      </w:r>
    </w:p>
    <w:p w14:paraId="23F31CBB" w14:textId="43C74AD0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27.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menor: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modificar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excepcionalmente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consistir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ampliación,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remodelación,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demolición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parcial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refacción,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siempre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alteren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elementos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estructurales.</w:t>
      </w:r>
    </w:p>
    <w:p w14:paraId="40A1F9B7" w14:textId="6045F4B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28.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Parapeto: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Muro,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tabique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elementos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opacos,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traslucidos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transparentes,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colocados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evitar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caídas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separar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unidades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inmobiliarias.</w:t>
      </w:r>
    </w:p>
    <w:p w14:paraId="20F5BBC5" w14:textId="7A077A9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29.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Perfil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urbano: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Composición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resultante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consolidadas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urbano.</w:t>
      </w:r>
    </w:p>
    <w:p w14:paraId="0E3149B0" w14:textId="03C3B86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30.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Pozo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luz: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Patio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proyecta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máxima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define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pozo,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cuya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función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ambientes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circundantes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iluminación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ventilación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natural.</w:t>
      </w:r>
    </w:p>
    <w:p w14:paraId="13E4A59B" w14:textId="56D77CC8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lastRenderedPageBreak/>
        <w:t>31.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proofErr w:type="spellStart"/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constatador</w:t>
      </w:r>
      <w:proofErr w:type="spellEnd"/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arquitecto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ingeniero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civil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colegiado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quien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bajo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responsabilidad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constata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parámetros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urbanísticos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edificatorios,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elabora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física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terreno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regularización.</w:t>
      </w:r>
    </w:p>
    <w:p w14:paraId="45B1D56B" w14:textId="1B5320CF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32.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Retiro: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Distancia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existe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entre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manera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paralela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lindero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sirve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referencia.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entre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lindero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exige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parámetros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urbanísticos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edificatorios.</w:t>
      </w:r>
    </w:p>
    <w:p w14:paraId="525546DB" w14:textId="5D5D4C00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33.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Retranque: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Distancia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separación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retiro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interior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línea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fachada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inferior.</w:t>
      </w:r>
    </w:p>
    <w:p w14:paraId="2C8C295C" w14:textId="17B9B33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34.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Semisótano: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cuya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superficie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superior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1.50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nivel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vereda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ocupar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retiros,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excepto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aquellos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reservados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ensanche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vías.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destinado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siempre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requisitos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mínimos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ventilación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iluminación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natural.</w:t>
      </w:r>
    </w:p>
    <w:p w14:paraId="181B742F" w14:textId="005A969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35.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Sistema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constructivo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Conjunto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integral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combinados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según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lineamientos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precisos,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decir,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según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determinado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constructivo,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construye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ingeniería.</w:t>
      </w:r>
    </w:p>
    <w:p w14:paraId="7044E6AB" w14:textId="2FC7B1C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36.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Techo.-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superior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último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transitable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equipamiento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acceder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escalera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gato.</w:t>
      </w:r>
    </w:p>
    <w:p w14:paraId="58AA4C72" w14:textId="4A0B1EA7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Capítulo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II</w:t>
      </w:r>
    </w:p>
    <w:p w14:paraId="4B451B79" w14:textId="5D274204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Requisitos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procedimientos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obtener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licencia</w:t>
      </w:r>
    </w:p>
    <w:p w14:paraId="3D9BED99" w14:textId="043CCE1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7°.-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Requisitos.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efectos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iniciar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correspondiente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debidamente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suscritos,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siguientes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requisitos:</w:t>
      </w:r>
    </w:p>
    <w:p w14:paraId="21F6D7E2" w14:textId="367EF11B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7.1.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Formulario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Único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FUE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Anexo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B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(según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corresponda),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(01)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juego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original,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debidamente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suscrito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constatador</w:t>
      </w:r>
      <w:proofErr w:type="spellEnd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consignar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fecha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necesaria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Edificaciones.</w:t>
      </w:r>
    </w:p>
    <w:p w14:paraId="15C4AFA7" w14:textId="607EED5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7.2.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firmada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constatador</w:t>
      </w:r>
      <w:proofErr w:type="spellEnd"/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compuesta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por:</w:t>
      </w:r>
    </w:p>
    <w:p w14:paraId="35935623" w14:textId="66F0FF7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Plano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Ubicación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Localización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según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Ministerio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Saneamiento.</w:t>
      </w:r>
    </w:p>
    <w:p w14:paraId="705C4697" w14:textId="69FBD031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Arquitectura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(plantas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amobladas,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elevaciones)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regularizar.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demolición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parcial,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ampliación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remodelación,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intervención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resultantes.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multifamiliares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menores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1,000m2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cinco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(05)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sótanos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indicar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señalización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dispositivos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seguridad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extintores,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detectores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alarmas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incendios,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iluminación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emergencia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respectiva,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encontrarse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implementado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obra.</w:t>
      </w:r>
    </w:p>
    <w:p w14:paraId="1F0D12CE" w14:textId="4A8952C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Seguridad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(evacuación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señalización),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multifamiliares,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igual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1,000m2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cinco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(05)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sótanos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local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comercial,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oficinas,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hospedaje,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educación,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salud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A.130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específicas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caso.</w:t>
      </w:r>
    </w:p>
    <w:p w14:paraId="53973DBB" w14:textId="495B807F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Memoria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Descriptiva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Justificativa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Arquitectura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conteniendo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linderos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perimétricas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(descripción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predio),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fecha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>é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rmino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conservación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edificación.</w:t>
      </w:r>
    </w:p>
    <w:p w14:paraId="6C28010D" w14:textId="15C6318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Memoria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Descriptiva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Justificativa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Seguridad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multifamiliares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igual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1,000m2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cinco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(05)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sótanos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comercial,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oficinas,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hospedaje,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educación,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salud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usos.</w:t>
      </w:r>
    </w:p>
    <w:p w14:paraId="55BD52EC" w14:textId="0F102F11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membrete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documentación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técnica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especificar,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acoge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</w:p>
    <w:p w14:paraId="5B2303AC" w14:textId="689E40E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7.3.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remodelaciones,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ampliaciones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demoliciones,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presentar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copia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documento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acredite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Fábrica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respectivos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haya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expedido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Municipalidad,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defecto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copia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Certificado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Finalización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existente,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regularización.</w:t>
      </w:r>
    </w:p>
    <w:p w14:paraId="6950B273" w14:textId="527FE3B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7.4.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demoliciones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totales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parciales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edificaciones,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cuya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Fábrica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encuentre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inscrita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Registro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Predios,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presentar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copia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documento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acredite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bien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recaigan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cargas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gravámenes;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defecto,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autorización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titular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carga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gravamen.</w:t>
      </w:r>
    </w:p>
    <w:p w14:paraId="57DAE53B" w14:textId="6077EEF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7.5.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Carta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Seguridad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Obra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debidamente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sellada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firmada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Ingeniero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Civil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colegiado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(formato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Anexo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01),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infraestructura,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instalaciones,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seguridad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prevención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siniestros.</w:t>
      </w:r>
    </w:p>
    <w:p w14:paraId="0398E127" w14:textId="6DF2D32A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7.6.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Documentación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acredite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fecha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ejecución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misma,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Jurada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(formato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Anexo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02).</w:t>
      </w:r>
    </w:p>
    <w:p w14:paraId="1B024B0B" w14:textId="3BEE163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7.7.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Adjuntar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copia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comprobante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pago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servicio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inspección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ocular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catastrales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Texto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Texto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Único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Servicios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Exclusivos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TUSNE,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Resolución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Alcaldía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096-2025-MSB-A.</w:t>
      </w:r>
    </w:p>
    <w:p w14:paraId="4205AF7A" w14:textId="2369C14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7.8.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esté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sujeto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régimen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exclusiva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común,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adjuntar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autorización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Junta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lastRenderedPageBreak/>
        <w:t>Propietarios,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siempre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Predios.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actualizada,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suscrito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mayoría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simple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propietarios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autorizando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ejecutadas.</w:t>
      </w:r>
    </w:p>
    <w:p w14:paraId="6F29A3EC" w14:textId="3C01DDC8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7.9.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comercial,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oficinas,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hospedaje,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educación,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salud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otros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usos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diferentes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residencial;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acreditar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Funcionamiento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Certificado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Inspección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Seguridad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ITSE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vigente.</w:t>
      </w:r>
    </w:p>
    <w:p w14:paraId="2B829550" w14:textId="31E046B8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previo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adjuntar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copia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comprobante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acredite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cancelación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acuerdo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</w:p>
    <w:p w14:paraId="4BA6EC36" w14:textId="716C196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8°.-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Procedimiento.</w:t>
      </w:r>
    </w:p>
    <w:p w14:paraId="5DC0BEC3" w14:textId="062130B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8.1.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expediente,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requisitos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indicados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7°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módulos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Plataforma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Atención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Ciudadano,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Municipalidad.</w:t>
      </w:r>
    </w:p>
    <w:p w14:paraId="4663354D" w14:textId="41810681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8.2.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expediente,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tienen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Jurada;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personal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Recepción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Municipalidad,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limita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contenga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requeridos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Expediente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indicado,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asigna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número,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folia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adjunta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servicio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inspección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ocular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regularización.</w:t>
      </w:r>
    </w:p>
    <w:p w14:paraId="6700AB7A" w14:textId="1B080A5B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8.3.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requisitos,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vez,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personal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Recepción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anota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observaciones,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entrega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requiriendo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máximo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(02)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hábiles.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cómputo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inicio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administrativo.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estipulado,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devuelve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bajo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cargo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administrado.</w:t>
      </w:r>
    </w:p>
    <w:p w14:paraId="1FBF65BA" w14:textId="6015A2BE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8.4.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observaciones,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numeral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8.2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través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designado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necesario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especialista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seguridad,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salud,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educación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otros,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realice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evaluación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expediente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ingrese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</w:p>
    <w:p w14:paraId="0CAE5475" w14:textId="17631B7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8.5.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advierte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observaciones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revisión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permiten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continuar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requiere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vez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realice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correspondiente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quince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(15)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hábiles.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satisfactoria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requerido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improcedencia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solicitado.</w:t>
      </w:r>
    </w:p>
    <w:p w14:paraId="16EAD5B6" w14:textId="5D5DAB4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8.6.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sujeto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evaluación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designado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tipo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requiera,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especialista.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términos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Conforme.</w:t>
      </w:r>
    </w:p>
    <w:p w14:paraId="4A156C5A" w14:textId="43268C6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8.7.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Iniciado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designado,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dispone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diez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(10)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hábiles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constatador</w:t>
      </w:r>
      <w:proofErr w:type="spellEnd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partida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SUNARP,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titularidad,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fábrica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recepción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asimismo,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realizará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inspección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ocular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constatar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aplicables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emitirá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correspondiente;</w:t>
      </w:r>
    </w:p>
    <w:p w14:paraId="32EA8C3E" w14:textId="3928A72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8.8.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designado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revisión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valor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calcular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monto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cancelar.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vez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realizado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pago,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Resolución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debiendo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Funcionario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sellar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firmar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notificando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diez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(10)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hábiles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triplicado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Formulario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FUE-Conformidad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(03)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copias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regularización.</w:t>
      </w:r>
    </w:p>
    <w:p w14:paraId="6B12EE4D" w14:textId="69C3FF9A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8.9.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Luego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cinco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(05)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hábiles,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devolverán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(02)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juegos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así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documentación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debidamente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sellada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firmada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Funcionario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constituyen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título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suficiente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registral.</w:t>
      </w:r>
    </w:p>
    <w:p w14:paraId="504D00A0" w14:textId="4DF1613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8.10.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notifica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observaciones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otorgando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quince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(15)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hábiles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subsanarlas,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suspendiendo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Administrativo.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respectivas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subsanaciones,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cómputo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reinicia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momento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fueron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formuladas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observaciones.</w:t>
      </w:r>
    </w:p>
    <w:p w14:paraId="351DCF52" w14:textId="1B8F0E68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8.11.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prorrogable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diez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(10)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días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hábiles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adicionales,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única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vez,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siempre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otorgado.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circunstancias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excepcionales,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otorgarán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mayores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acuerdo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solicitado,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misma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evaluación.</w:t>
      </w:r>
    </w:p>
    <w:p w14:paraId="53A7446B" w14:textId="13DBBB68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8.12.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presentarse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luego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segunda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revisión,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subsanarse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observaciones,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satisfactoria,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improcedencia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Edificación.</w:t>
      </w:r>
    </w:p>
    <w:p w14:paraId="06AD78FA" w14:textId="7B4F7E96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lastRenderedPageBreak/>
        <w:t>Capítulo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III</w:t>
      </w:r>
    </w:p>
    <w:p w14:paraId="491260CC" w14:textId="5BEE9DDE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Parámetros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urbanísticos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edificatorios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criterios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normativos</w:t>
      </w:r>
    </w:p>
    <w:p w14:paraId="0562937A" w14:textId="4E897C3F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9°.-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Aplicación.</w:t>
      </w:r>
    </w:p>
    <w:p w14:paraId="31C06079" w14:textId="29BC83A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9.1.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parámetros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urbanísticos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edificatorios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fecha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favorable,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parámetros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491-2012-MSB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modificatorias,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recogidas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Decreto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Alcaldía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002-2025-MSB-A,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aprueba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TUO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491-MSB,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aprueba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Complementarias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Zonificación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considerando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tolerancia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20%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menos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establecido,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zonificación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vigente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compatible.</w:t>
      </w:r>
    </w:p>
    <w:p w14:paraId="3C41E1CA" w14:textId="519B723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9.2.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Asimismo,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Reglamento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Nacional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RNE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correspondan,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aplicándose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porcentaje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tolerancia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señalado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párrafo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anterior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aquellas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condiciones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básicas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habitabilidad,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seguridad,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confort,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sustentado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Memoria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Descriptiva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Justificativa.</w:t>
      </w:r>
    </w:p>
    <w:p w14:paraId="467FE86F" w14:textId="29CBDA2B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9.3.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independientemente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aplicará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tolerancias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respecto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alturas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máximas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permitidas,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Máximas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aprobado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1063-MML,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publicada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setiembre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2007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modificatorias.</w:t>
      </w:r>
    </w:p>
    <w:p w14:paraId="382AF6CE" w14:textId="6967125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Criterios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normativos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generales.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anterior,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tener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siguientes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criterios:</w:t>
      </w:r>
    </w:p>
    <w:p w14:paraId="634B21C3" w14:textId="4BD8C469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10.1.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unidades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ubicadas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Diferenciadas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techada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mínima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requerida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40.00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m2,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literal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A.020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RNE.</w:t>
      </w:r>
    </w:p>
    <w:p w14:paraId="545B2961" w14:textId="65B5566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10.2.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cálculo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requeridos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número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entero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resultante,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fracción;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exigirá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requerimiento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visitas,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bicicletas.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residencial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ubicadas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diferenciadas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(1)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Diferenciadas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(1)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(3)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viviendas.</w:t>
      </w:r>
    </w:p>
    <w:p w14:paraId="484F4B86" w14:textId="70EFECF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10.3.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Recepción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Asimismo,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acogerse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formalizados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Organismo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Formalización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Propiedad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Cofopri</w:t>
      </w:r>
      <w:proofErr w:type="spellEnd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cuya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resolución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formalización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manera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expresa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Recepción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Urbana.</w:t>
      </w:r>
    </w:p>
    <w:p w14:paraId="251132FE" w14:textId="4D494ED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10.4.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frente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menores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producto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estén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producto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subdivisión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inscrita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amparo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27157.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beneficio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colindancia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alturas.</w:t>
      </w:r>
    </w:p>
    <w:p w14:paraId="1FDDEF8D" w14:textId="1DF1BBB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10.5.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diferentes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residencial,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tolerancias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9°,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referidas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ruta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evacuación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emergencia,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accesibilidad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arquitectónica,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rampas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estacionamiento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rampas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peatonales.</w:t>
      </w:r>
    </w:p>
    <w:p w14:paraId="203BAD52" w14:textId="7CA73BB0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10.6.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máxima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establecido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Técnica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A.010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RNE,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respecto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expresada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metros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conceptos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colindancia,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consolidación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esquina,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homogenizar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perfil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ciudad.</w:t>
      </w:r>
    </w:p>
    <w:p w14:paraId="2C74E600" w14:textId="21F582C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10.7.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azotea,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coberturas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ligeras,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cerramientos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laterales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transparentes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traslucidos,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excepto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retranque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límite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fachada,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permanecer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libre.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Asimismo,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azoteas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comunes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permitirá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complementarios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azotea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(dúplex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triplex</w:t>
      </w:r>
      <w:proofErr w:type="spellEnd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),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albergar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cualquier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destinado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vivienda,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principal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gram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complementario</w:t>
      </w:r>
      <w:proofErr w:type="gramEnd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</w:t>
      </w:r>
    </w:p>
    <w:p w14:paraId="1BA86538" w14:textId="45FB4B2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10.8.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trate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multifamiliares,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producto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ampliación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y/o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cuenten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declaratoria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16.50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ml.,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aceptará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escaleras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ubicadas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retiro,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siempre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abiertas.</w:t>
      </w:r>
    </w:p>
    <w:p w14:paraId="263FD94E" w14:textId="0575A205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10.9.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ningún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tipo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haya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realizado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jardín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aislamiento,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constituyen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cuyo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suelo,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subsuelo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aires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bienes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dominio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(aprobados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Habilitación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Urbana),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comunes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públicas,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merecerán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demolición.</w:t>
      </w:r>
    </w:p>
    <w:p w14:paraId="57384438" w14:textId="791AE63A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10.10.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tener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acabados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(mínimo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proofErr w:type="spellStart"/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tarrajeado</w:t>
      </w:r>
      <w:proofErr w:type="spellEnd"/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pintado)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muros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laterales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posteriores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colinden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vecinas,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debiendo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mantener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armonía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entorno;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asimismo,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reparación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bermas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veredas.</w:t>
      </w:r>
    </w:p>
    <w:p w14:paraId="0BC13661" w14:textId="32FDB6B4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Capítulo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IV</w:t>
      </w:r>
    </w:p>
    <w:p w14:paraId="5A8EC4AD" w14:textId="00ED7E97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Beneficios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administrativos</w:t>
      </w:r>
    </w:p>
    <w:p w14:paraId="14C700BB" w14:textId="2FFD929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11.-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derecho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trámite.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derecho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trámite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comprendido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dentro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alcances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gratuito,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TUPA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vigente.</w:t>
      </w:r>
    </w:p>
    <w:p w14:paraId="3F3DE716" w14:textId="3A9E400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12.-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Sobre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multa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administrativa.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cálculo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valor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considerará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artículo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83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Decreto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Supremo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029-2019-Vivienda,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señala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equivalente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10%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valor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tomando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promedio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valor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fecha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valor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fecha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solicitud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haciendo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salvedad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valor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ningún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menor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1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UIT.</w:t>
      </w:r>
    </w:p>
    <w:p w14:paraId="44D6FEEC" w14:textId="3AD381F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cálculos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valor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indicados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párrafo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anterior,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formar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parte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Expediente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Urbanas.</w:t>
      </w:r>
    </w:p>
    <w:p w14:paraId="2F9A684A" w14:textId="2466464D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Disposiciones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Complementarias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Finales</w:t>
      </w:r>
    </w:p>
    <w:p w14:paraId="7AD7174C" w14:textId="52C132F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Primera.-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procederá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otorgamiento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Resolución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titularidad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encuentre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cuestionada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judicial.</w:t>
      </w:r>
    </w:p>
    <w:p w14:paraId="28A5AE7B" w14:textId="09645ECE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Segunda.-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Facultar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señor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alcalde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que,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ser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caso,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mediante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decreto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alcaldía,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dicte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disposiciones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necesarias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complementarias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para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correcta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aplicación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="00504ED6" w:rsidRPr="00AE1232">
        <w:rPr>
          <w:rFonts w:eastAsia="Times New Roman" w:cs="Arial"/>
          <w:color w:val="000000"/>
          <w:sz w:val="24"/>
          <w:szCs w:val="20"/>
          <w:lang w:eastAsia="es-PE"/>
        </w:rPr>
        <w:t>ordenanza,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así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resultar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conveniente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prorrogar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plazo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vigencia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conforme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atribuciones.</w:t>
      </w:r>
    </w:p>
    <w:p w14:paraId="77235F80" w14:textId="381299FA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Tercera.-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Encargar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Desarrollo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Urbano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Catastro,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así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demás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órganos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competentes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Municipalidad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cumplimiento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corresponda.</w:t>
      </w:r>
    </w:p>
    <w:p w14:paraId="2313A1E5" w14:textId="2A20D85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Cuarta.-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Encargar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Secretaría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General,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publicación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Diario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Oficial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Peruano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Oficina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General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Tecnología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publicación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Portal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Institucional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Portal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Estado.</w:t>
      </w:r>
    </w:p>
    <w:p w14:paraId="4336935A" w14:textId="67A4F248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Quinta.-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Facultar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revisión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valor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ejecutada,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calcular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monto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deberán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cancelar,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aquellos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decidan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acogerse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manera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voluntaria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marco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normativo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presente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ordenanza.</w:t>
      </w:r>
    </w:p>
    <w:p w14:paraId="1FBFB046" w14:textId="4DA5E3D4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Sexta.-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administrados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hayan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sancionados,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realizado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construcciones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hasta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31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diciembre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2023,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Licencia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podrán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acogerse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Procedimiento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manteniéndose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invariable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monto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multa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impuesta,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salvo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difiera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área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materia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regularización;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cuyo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quedará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sujeto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evaluación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Subgerencia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Obras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Privadas.</w:t>
      </w:r>
    </w:p>
    <w:p w14:paraId="17DA3956" w14:textId="697BE3E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Por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tanto:</w:t>
      </w:r>
    </w:p>
    <w:p w14:paraId="29D64BCB" w14:textId="480BB77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Regístrese,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comuníquese,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publíquese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cúmplase.</w:t>
      </w:r>
    </w:p>
    <w:p w14:paraId="1D268364" w14:textId="7DCCE678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Marco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Antonio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Álvarez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Vargas</w:t>
      </w:r>
    </w:p>
    <w:p w14:paraId="698B423B" w14:textId="5B7F8C3D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Alcalde</w:t>
      </w:r>
    </w:p>
    <w:p w14:paraId="3367F7A9" w14:textId="1FB6D881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Anexo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01</w:t>
      </w:r>
    </w:p>
    <w:p w14:paraId="4733F041" w14:textId="28992804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Carta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seguridad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obra</w:t>
      </w:r>
    </w:p>
    <w:p w14:paraId="6FD17141" w14:textId="5C0EA0E0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.........................................................................,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identificado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DNI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profesión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Ingeniero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Civil,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CIP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N.°..........................,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haber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inspeccionado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inmueble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..............................................................................................,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Provincia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Departamento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Lima;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habiendo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evaluado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dicho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inmueble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constata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que:</w:t>
      </w:r>
    </w:p>
    <w:p w14:paraId="50F2AD5E" w14:textId="311478A9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estructuras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situación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infraestructura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general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seguras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permiten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habitar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inmueble.</w:t>
      </w:r>
    </w:p>
    <w:p w14:paraId="08F1D894" w14:textId="04117B8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lastRenderedPageBreak/>
        <w:t>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</w:t>
      </w:r>
    </w:p>
    <w:p w14:paraId="410E48AF" w14:textId="7777777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.............................................................</w:t>
      </w:r>
    </w:p>
    <w:p w14:paraId="5C072DC6" w14:textId="7CC73789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Firma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Sello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Ingeniero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Civil</w:t>
      </w:r>
    </w:p>
    <w:p w14:paraId="1A73FAB8" w14:textId="6EEBF909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Nombres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Apellidos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:...............</w:t>
      </w:r>
    </w:p>
    <w:p w14:paraId="6E662CFF" w14:textId="0BB4F60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CIP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</w:t>
      </w:r>
    </w:p>
    <w:p w14:paraId="60D92FC4" w14:textId="6B8FDD4F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DNI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.........................................</w:t>
      </w:r>
    </w:p>
    <w:p w14:paraId="070A593C" w14:textId="13E5077A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Teléfono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</w:t>
      </w:r>
    </w:p>
    <w:p w14:paraId="330DFCE8" w14:textId="1FA780F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Email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</w:t>
      </w:r>
    </w:p>
    <w:p w14:paraId="1340B9CA" w14:textId="79893097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Anexo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02</w:t>
      </w:r>
    </w:p>
    <w:p w14:paraId="4E0E66B2" w14:textId="0598CDF3" w:rsidR="00AE1232" w:rsidRPr="00AE1232" w:rsidRDefault="00AE1232" w:rsidP="00504ED6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Declaración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jurada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ejecución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b/>
          <w:bCs/>
          <w:color w:val="000000"/>
          <w:sz w:val="24"/>
          <w:szCs w:val="20"/>
          <w:lang w:eastAsia="es-PE"/>
        </w:rPr>
        <w:t>obra</w:t>
      </w:r>
    </w:p>
    <w:p w14:paraId="21C8E1A0" w14:textId="74FF1020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........................................................................,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identificado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DNI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N.°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domicilio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........................................................................,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bajo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Juramento,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edificación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predio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ubicado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distrito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San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Borja,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Provincia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Lima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Departamento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Lima,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inició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concluyó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</w:t>
      </w:r>
    </w:p>
    <w:p w14:paraId="32846ECC" w14:textId="1B0F5CE3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Teniendo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conocimiento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caso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información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arriba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señalada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sea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falsa,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asumo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responsabilidades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legales,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tengo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conocimiento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que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las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autorizaciones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otorgadas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se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declararán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nulas.</w:t>
      </w:r>
    </w:p>
    <w:p w14:paraId="1D9B6061" w14:textId="65F08551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......................,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de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</w:t>
      </w:r>
    </w:p>
    <w:p w14:paraId="6CCD1BAA" w14:textId="77777777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....................................................</w:t>
      </w:r>
    </w:p>
    <w:p w14:paraId="13AB2BF7" w14:textId="25041DA6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Firma</w:t>
      </w:r>
    </w:p>
    <w:p w14:paraId="28C26917" w14:textId="10F14890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Nombres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y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Apellidos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:...............</w:t>
      </w:r>
    </w:p>
    <w:p w14:paraId="45466056" w14:textId="340D1B7E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Registro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CIP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</w:t>
      </w:r>
    </w:p>
    <w:p w14:paraId="37EA99EF" w14:textId="4C96087B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DNI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.........................................</w:t>
      </w:r>
    </w:p>
    <w:p w14:paraId="3E2045BC" w14:textId="5EBCAF5C" w:rsidR="00AE1232" w:rsidRPr="00AE1232" w:rsidRDefault="00AE1232" w:rsidP="00504ED6">
      <w:pPr>
        <w:spacing w:before="120"/>
        <w:rPr>
          <w:rFonts w:eastAsia="Times New Roman" w:cs="Arial"/>
          <w:color w:val="000000"/>
          <w:sz w:val="24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Teléfono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</w:t>
      </w:r>
    </w:p>
    <w:p w14:paraId="772003F4" w14:textId="7BBC215C" w:rsidR="00AE1232" w:rsidRPr="00AE1232" w:rsidRDefault="00AE1232" w:rsidP="00504ED6">
      <w:pPr>
        <w:spacing w:before="120"/>
        <w:rPr>
          <w:rFonts w:eastAsia="Times New Roman" w:cs="Arial"/>
          <w:color w:val="000000"/>
          <w:szCs w:val="20"/>
          <w:lang w:eastAsia="es-PE"/>
        </w:rPr>
      </w:pP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Email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:</w:t>
      </w:r>
      <w:r w:rsidR="00504ED6">
        <w:rPr>
          <w:rFonts w:eastAsia="Times New Roman" w:cs="Arial"/>
          <w:color w:val="000000"/>
          <w:sz w:val="24"/>
          <w:szCs w:val="20"/>
          <w:lang w:eastAsia="es-PE"/>
        </w:rPr>
        <w:t xml:space="preserve"> </w:t>
      </w:r>
      <w:r w:rsidRPr="00AE1232">
        <w:rPr>
          <w:rFonts w:eastAsia="Times New Roman" w:cs="Arial"/>
          <w:color w:val="000000"/>
          <w:sz w:val="24"/>
          <w:szCs w:val="20"/>
          <w:lang w:eastAsia="es-PE"/>
        </w:rPr>
        <w:t>.......................................</w:t>
      </w:r>
    </w:p>
    <w:p w14:paraId="3FEABC5F" w14:textId="731AD2C8" w:rsidR="00AE1232" w:rsidRPr="00AE1232" w:rsidRDefault="00AE1232" w:rsidP="00504ED6">
      <w:pPr>
        <w:spacing w:before="120"/>
        <w:jc w:val="center"/>
        <w:rPr>
          <w:rFonts w:cs="Arial"/>
          <w:szCs w:val="20"/>
        </w:rPr>
      </w:pPr>
      <w:r w:rsidRPr="00AE1232">
        <w:rPr>
          <w:rFonts w:cs="Arial"/>
          <w:szCs w:val="20"/>
        </w:rPr>
        <w:t>Documento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publicado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en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el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Diario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Oficial</w:t>
      </w:r>
      <w:r w:rsidR="00504ED6">
        <w:rPr>
          <w:rFonts w:cs="Arial"/>
          <w:szCs w:val="20"/>
        </w:rPr>
        <w:t xml:space="preserve"> "</w:t>
      </w:r>
      <w:r w:rsidRPr="00AE1232">
        <w:rPr>
          <w:rFonts w:cs="Arial"/>
          <w:szCs w:val="20"/>
        </w:rPr>
        <w:t>El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Peruano</w:t>
      </w:r>
      <w:r w:rsidR="00504ED6">
        <w:rPr>
          <w:rFonts w:cs="Arial"/>
          <w:szCs w:val="20"/>
        </w:rPr>
        <w:t xml:space="preserve">" </w:t>
      </w:r>
      <w:r w:rsidRPr="00AE1232">
        <w:rPr>
          <w:rFonts w:cs="Arial"/>
          <w:szCs w:val="20"/>
        </w:rPr>
        <w:t>el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1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de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julio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del</w:t>
      </w:r>
      <w:r w:rsidR="00504ED6">
        <w:rPr>
          <w:rFonts w:cs="Arial"/>
          <w:szCs w:val="20"/>
        </w:rPr>
        <w:t xml:space="preserve"> </w:t>
      </w:r>
      <w:r w:rsidRPr="00AE1232">
        <w:rPr>
          <w:rFonts w:cs="Arial"/>
          <w:szCs w:val="20"/>
        </w:rPr>
        <w:t>2025.</w:t>
      </w:r>
      <w:bookmarkEnd w:id="0"/>
    </w:p>
    <w:sectPr w:rsidR="00AE1232" w:rsidRPr="00AE123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BCB6A" w14:textId="77777777" w:rsidR="00971C80" w:rsidRDefault="00971C80" w:rsidP="00AE1232">
      <w:r>
        <w:separator/>
      </w:r>
    </w:p>
  </w:endnote>
  <w:endnote w:type="continuationSeparator" w:id="0">
    <w:p w14:paraId="530E4F13" w14:textId="77777777" w:rsidR="00971C80" w:rsidRDefault="00971C80" w:rsidP="00AE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8D1A0" w14:textId="6FD644F9" w:rsidR="00AE1232" w:rsidRPr="00504ED6" w:rsidRDefault="00AE1232" w:rsidP="00504ED6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>Un</w:t>
    </w:r>
    <w:r w:rsidR="00504ED6">
      <w:rPr>
        <w:rFonts w:ascii="Calibri" w:hAnsi="Calibri"/>
      </w:rPr>
      <w:t xml:space="preserve"> </w:t>
    </w:r>
    <w:r w:rsidRPr="00ED2292">
      <w:rPr>
        <w:rFonts w:ascii="Calibri" w:hAnsi="Calibri"/>
      </w:rPr>
      <w:t>desarrollo</w:t>
    </w:r>
    <w:r w:rsidR="00504ED6">
      <w:rPr>
        <w:rFonts w:ascii="Calibri" w:hAnsi="Calibri"/>
      </w:rPr>
      <w:t xml:space="preserve"> </w:t>
    </w:r>
    <w:r w:rsidRPr="00ED2292">
      <w:rPr>
        <w:rFonts w:ascii="Calibri" w:hAnsi="Calibri"/>
      </w:rPr>
      <w:t>especializado</w:t>
    </w:r>
    <w:r w:rsidR="00504ED6">
      <w:rPr>
        <w:rFonts w:ascii="Calibri" w:hAnsi="Calibri"/>
      </w:rPr>
      <w:t xml:space="preserve"> </w:t>
    </w:r>
    <w:r w:rsidRPr="00ED2292">
      <w:rPr>
        <w:rFonts w:ascii="Calibri" w:hAnsi="Calibri"/>
      </w:rPr>
      <w:t>de</w:t>
    </w:r>
    <w:r w:rsidR="00504ED6">
      <w:rPr>
        <w:rFonts w:ascii="Calibri" w:hAnsi="Calibri"/>
      </w:rPr>
      <w:t xml:space="preserve">         </w:t>
    </w:r>
    <w:r>
      <w:rPr>
        <w:rFonts w:ascii="Calibri" w:hAnsi="Calibri"/>
        <w:noProof/>
        <w:lang w:eastAsia="es-PE"/>
      </w:rPr>
      <w:drawing>
        <wp:inline distT="0" distB="0" distL="0" distR="0" wp14:anchorId="33F07AC7" wp14:editId="6015826C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E8F60" w14:textId="77777777" w:rsidR="00971C80" w:rsidRDefault="00971C80" w:rsidP="00AE1232">
      <w:r>
        <w:separator/>
      </w:r>
    </w:p>
  </w:footnote>
  <w:footnote w:type="continuationSeparator" w:id="0">
    <w:p w14:paraId="4A5B1E49" w14:textId="77777777" w:rsidR="00971C80" w:rsidRDefault="00971C80" w:rsidP="00AE1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82D8C" w14:textId="79CFE6B8" w:rsidR="00AE1232" w:rsidRDefault="00AE1232" w:rsidP="00504ED6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373B1F2C" wp14:editId="03EB6D61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32"/>
    <w:rsid w:val="0002405D"/>
    <w:rsid w:val="000526BE"/>
    <w:rsid w:val="00096CEC"/>
    <w:rsid w:val="00133291"/>
    <w:rsid w:val="002017D0"/>
    <w:rsid w:val="00407CD4"/>
    <w:rsid w:val="00504ED6"/>
    <w:rsid w:val="00580259"/>
    <w:rsid w:val="00615327"/>
    <w:rsid w:val="007F0EA7"/>
    <w:rsid w:val="008066EB"/>
    <w:rsid w:val="008F2267"/>
    <w:rsid w:val="00971C80"/>
    <w:rsid w:val="00AA3083"/>
    <w:rsid w:val="00AE1232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2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AE123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AE123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E123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AE1232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x-ning-n-estilo-de-p-rrafo-">
    <w:name w:val="x-ning-n-estilo-de-p-rrafo-"/>
    <w:basedOn w:val="Normal"/>
    <w:rsid w:val="00AE12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AE1232"/>
  </w:style>
  <w:style w:type="paragraph" w:customStyle="1" w:styleId="cuerpo">
    <w:name w:val="cuerpo"/>
    <w:basedOn w:val="Normal"/>
    <w:rsid w:val="00AE12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2">
    <w:name w:val="no-style-override-2"/>
    <w:basedOn w:val="Fuentedeprrafopredeter"/>
    <w:rsid w:val="00AE1232"/>
  </w:style>
  <w:style w:type="character" w:customStyle="1" w:styleId="no-style-override-3">
    <w:name w:val="no-style-override-3"/>
    <w:basedOn w:val="Fuentedeprrafopredeter"/>
    <w:rsid w:val="00AE1232"/>
  </w:style>
  <w:style w:type="character" w:customStyle="1" w:styleId="no-style-override-4">
    <w:name w:val="no-style-override-4"/>
    <w:basedOn w:val="Fuentedeprrafopredeter"/>
    <w:rsid w:val="00AE1232"/>
  </w:style>
  <w:style w:type="character" w:customStyle="1" w:styleId="no-style-override">
    <w:name w:val="no-style-override"/>
    <w:basedOn w:val="Fuentedeprrafopredeter"/>
    <w:rsid w:val="00AE1232"/>
  </w:style>
  <w:style w:type="paragraph" w:styleId="Encabezado">
    <w:name w:val="header"/>
    <w:basedOn w:val="Normal"/>
    <w:link w:val="EncabezadoCar"/>
    <w:uiPriority w:val="99"/>
    <w:unhideWhenUsed/>
    <w:rsid w:val="00AE12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123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E12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23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E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AE123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AE123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E123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AE1232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x-ning-n-estilo-de-p-rrafo-">
    <w:name w:val="x-ning-n-estilo-de-p-rrafo-"/>
    <w:basedOn w:val="Normal"/>
    <w:rsid w:val="00AE12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AE1232"/>
  </w:style>
  <w:style w:type="paragraph" w:customStyle="1" w:styleId="cuerpo">
    <w:name w:val="cuerpo"/>
    <w:basedOn w:val="Normal"/>
    <w:rsid w:val="00AE12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2">
    <w:name w:val="no-style-override-2"/>
    <w:basedOn w:val="Fuentedeprrafopredeter"/>
    <w:rsid w:val="00AE1232"/>
  </w:style>
  <w:style w:type="character" w:customStyle="1" w:styleId="no-style-override-3">
    <w:name w:val="no-style-override-3"/>
    <w:basedOn w:val="Fuentedeprrafopredeter"/>
    <w:rsid w:val="00AE1232"/>
  </w:style>
  <w:style w:type="character" w:customStyle="1" w:styleId="no-style-override-4">
    <w:name w:val="no-style-override-4"/>
    <w:basedOn w:val="Fuentedeprrafopredeter"/>
    <w:rsid w:val="00AE1232"/>
  </w:style>
  <w:style w:type="character" w:customStyle="1" w:styleId="no-style-override">
    <w:name w:val="no-style-override"/>
    <w:basedOn w:val="Fuentedeprrafopredeter"/>
    <w:rsid w:val="00AE1232"/>
  </w:style>
  <w:style w:type="paragraph" w:styleId="Encabezado">
    <w:name w:val="header"/>
    <w:basedOn w:val="Normal"/>
    <w:link w:val="EncabezadoCar"/>
    <w:uiPriority w:val="99"/>
    <w:unhideWhenUsed/>
    <w:rsid w:val="00AE12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123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E12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23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E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6096</Words>
  <Characters>33528</Characters>
  <Application>Microsoft Office Word</Application>
  <DocSecurity>0</DocSecurity>
  <Lines>279</Lines>
  <Paragraphs>79</Paragraphs>
  <ScaleCrop>false</ScaleCrop>
  <Company/>
  <LinksUpToDate>false</LinksUpToDate>
  <CharactersWithSpaces>39545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2</cp:revision>
  <dcterms:created xsi:type="dcterms:W3CDTF">2025-07-01T16:40:00Z</dcterms:created>
  <dcterms:modified xsi:type="dcterms:W3CDTF">2025-07-03T21:19:00Z</dcterms:modified>
</cp:coreProperties>
</file>