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712A" w14:textId="77777777" w:rsidR="002D6782" w:rsidRPr="002D6782" w:rsidRDefault="002D6782" w:rsidP="007F3343">
      <w:pPr>
        <w:spacing w:before="120"/>
        <w:jc w:val="center"/>
        <w:rPr>
          <w:rFonts w:cs="Arial"/>
          <w:b/>
          <w:bCs/>
          <w:sz w:val="24"/>
          <w:szCs w:val="15"/>
        </w:rPr>
      </w:pPr>
      <w:bookmarkStart w:id="0" w:name="_GoBack"/>
      <w:bookmarkEnd w:id="0"/>
      <w:r w:rsidRPr="002D6782">
        <w:rPr>
          <w:rFonts w:cs="Arial"/>
          <w:b/>
          <w:bCs/>
          <w:sz w:val="24"/>
          <w:szCs w:val="15"/>
        </w:rPr>
        <w:t>Casación N.° 30070-2022-Lima</w:t>
      </w:r>
    </w:p>
    <w:p w14:paraId="75DA73B8" w14:textId="77777777" w:rsidR="002D6782" w:rsidRPr="002D6782" w:rsidRDefault="002D6782" w:rsidP="007F3343">
      <w:pPr>
        <w:spacing w:before="120"/>
        <w:rPr>
          <w:rFonts w:cs="Arial"/>
          <w:sz w:val="24"/>
          <w:szCs w:val="15"/>
        </w:rPr>
      </w:pPr>
      <w:r w:rsidRPr="002D6782">
        <w:rPr>
          <w:rFonts w:cs="Arial"/>
          <w:b/>
          <w:bCs/>
          <w:sz w:val="24"/>
          <w:szCs w:val="15"/>
        </w:rPr>
        <w:t>Sumilla</w:t>
      </w:r>
      <w:r w:rsidRPr="002D6782">
        <w:rPr>
          <w:rFonts w:cs="Arial"/>
          <w:sz w:val="24"/>
          <w:szCs w:val="15"/>
        </w:rPr>
        <w:t>: Realizando una interpretación normativa conjunta y sistemática, no existe contradicción entre el artículo 3° de la Ley N.° 29090 y el artículo 3° de la Norma TH 0.40 del Reglamento Nacional de Edificaciones. La exoneración de aportes para habilitaciones de usos especiales se debe a que estas son prestaciones de carácter público, destinadas a edificaciones educativas, religiosas, de salud, institucionales, deportivas, recreacionales y campos feriales; supuestos necesarios para acceder a la exoneración.</w:t>
      </w:r>
    </w:p>
    <w:p w14:paraId="1D00A474" w14:textId="062C8AEE" w:rsidR="002D6782" w:rsidRPr="002D6782" w:rsidRDefault="002D6782" w:rsidP="007F3343">
      <w:pPr>
        <w:spacing w:before="120"/>
        <w:rPr>
          <w:rFonts w:cs="Arial"/>
          <w:sz w:val="24"/>
          <w:szCs w:val="15"/>
        </w:rPr>
      </w:pPr>
      <w:r w:rsidRPr="002D6782">
        <w:rPr>
          <w:rFonts w:cs="Arial"/>
          <w:sz w:val="24"/>
          <w:szCs w:val="15"/>
        </w:rPr>
        <w:t>Lima, uno de octubre de dos mil veinticuatro.</w:t>
      </w:r>
    </w:p>
    <w:p w14:paraId="381C4B5A" w14:textId="006EC622" w:rsidR="002D6782" w:rsidRPr="002D6782" w:rsidRDefault="002D6782" w:rsidP="007F3343">
      <w:pPr>
        <w:spacing w:before="120"/>
        <w:rPr>
          <w:rFonts w:cs="Arial"/>
          <w:sz w:val="24"/>
          <w:szCs w:val="15"/>
        </w:rPr>
      </w:pPr>
      <w:r w:rsidRPr="002D6782">
        <w:rPr>
          <w:rFonts w:cs="Arial"/>
          <w:b/>
          <w:bCs/>
          <w:sz w:val="24"/>
          <w:szCs w:val="15"/>
        </w:rPr>
        <w:t xml:space="preserve">La Sala de Derecho Constitucional y Social Permanente de la Corte Suprema de Justicia de la República: I. Vista: </w:t>
      </w:r>
      <w:r w:rsidRPr="002D6782">
        <w:rPr>
          <w:rFonts w:cs="Arial"/>
          <w:sz w:val="24"/>
          <w:szCs w:val="15"/>
        </w:rPr>
        <w:t xml:space="preserve">La causa número treinta mil setenta – dos mil veintidós, con el expediente judicial digital - No Eje; en audiencia pública llevada a cabo en la fecha integrada por los señores Jueces Supremos De La Rosa Bedriñana - Presidenta, Yrivarren Fallaque, Cartolin Pastor, Linares San Román y Díaz Vallejos; luego de verificada la votación con arreglo a ley, se emite la siguiente sentencia: </w:t>
      </w:r>
      <w:r w:rsidRPr="002D6782">
        <w:rPr>
          <w:rFonts w:cs="Arial"/>
          <w:b/>
          <w:bCs/>
          <w:sz w:val="24"/>
          <w:szCs w:val="15"/>
        </w:rPr>
        <w:t xml:space="preserve">II. Materia del recurso: </w:t>
      </w:r>
      <w:r w:rsidRPr="002D6782">
        <w:rPr>
          <w:rFonts w:cs="Arial"/>
          <w:sz w:val="24"/>
          <w:szCs w:val="15"/>
        </w:rPr>
        <w:t xml:space="preserve">Es de conocimiento de esta Sala Suprema, el recurso de casación interpuesto por </w:t>
      </w:r>
      <w:r w:rsidRPr="002D6782">
        <w:rPr>
          <w:rFonts w:cs="Arial"/>
          <w:b/>
          <w:bCs/>
          <w:sz w:val="24"/>
          <w:szCs w:val="15"/>
        </w:rPr>
        <w:t>Inmobideas Sociedad Anónima Cerrada</w:t>
      </w:r>
      <w:r w:rsidRPr="002D6782">
        <w:rPr>
          <w:rFonts w:cs="Arial"/>
          <w:sz w:val="24"/>
          <w:szCs w:val="15"/>
        </w:rPr>
        <w:t xml:space="preserve">, de fecha siete de enero de dos mil veintidós, obrante a fojas doscientos setenta y dos del expediente judicial digital - No Eje; contra la sentencia de vista contenida en la resolución número cinco de fecha siete de mayo de dos mil veintiuno, obrante a fojas doscientos treinta y cuatro del expediente judicial digital - No Eje, que revocó la sentencia apelada comprendida en la resolución número seis de fecha veintitrés de julio de dos mil diecinueve que declaró fundada la demanda; y, reformándola la declararon infundada. </w:t>
      </w:r>
      <w:r w:rsidRPr="002D6782">
        <w:rPr>
          <w:rFonts w:cs="Arial"/>
          <w:b/>
          <w:bCs/>
          <w:sz w:val="24"/>
          <w:szCs w:val="15"/>
        </w:rPr>
        <w:t xml:space="preserve">III. Antecedentes del proceso: 3.1. De lo actuado en la vía administrativa. </w:t>
      </w:r>
      <w:r w:rsidRPr="002D6782">
        <w:rPr>
          <w:rFonts w:cs="Arial"/>
          <w:sz w:val="24"/>
          <w:szCs w:val="15"/>
        </w:rPr>
        <w:t xml:space="preserve">Se aprecia de las copias de los actuados administrativos proporcionados por las partes procesales, lo siguiente: </w:t>
      </w:r>
      <w:r w:rsidRPr="002D6782">
        <w:rPr>
          <w:rFonts w:cs="Arial"/>
          <w:b/>
          <w:bCs/>
          <w:sz w:val="24"/>
          <w:szCs w:val="15"/>
        </w:rPr>
        <w:t xml:space="preserve">- </w:t>
      </w:r>
      <w:r w:rsidRPr="002D6782">
        <w:rPr>
          <w:rFonts w:cs="Arial"/>
          <w:sz w:val="24"/>
          <w:szCs w:val="15"/>
        </w:rPr>
        <w:t xml:space="preserve">Mediante Resolución de Licencia de Habilitación Urbana N.° 057-2016-SGLAUGDUGT/ ML, de fecha veinticinco de julio de dos mil dieciséis, la Municipalidad Distrital de Lurín, se aprobaron los Planos aprobados de lotización y vías N.° 006-2016-SGLAU-GDUGT/ ML (U.C 10421, Parcela A-2), en el cual se estableció entre otros un área de aportes a </w:t>
      </w:r>
      <w:r w:rsidR="0094625A" w:rsidRPr="002D6782">
        <w:rPr>
          <w:rFonts w:cs="Arial"/>
          <w:sz w:val="24"/>
          <w:szCs w:val="15"/>
        </w:rPr>
        <w:t xml:space="preserve">Serpar </w:t>
      </w:r>
      <w:r w:rsidRPr="002D6782">
        <w:rPr>
          <w:rFonts w:cs="Arial"/>
          <w:sz w:val="24"/>
          <w:szCs w:val="15"/>
        </w:rPr>
        <w:t>de 8,315.00 m</w:t>
      </w:r>
      <w:r w:rsidRPr="002D6782">
        <w:rPr>
          <w:rFonts w:cs="Arial"/>
          <w:sz w:val="24"/>
          <w:szCs w:val="9"/>
        </w:rPr>
        <w:t>2</w:t>
      </w:r>
      <w:r w:rsidRPr="002D6782">
        <w:rPr>
          <w:rFonts w:cs="Arial"/>
          <w:sz w:val="24"/>
          <w:szCs w:val="15"/>
        </w:rPr>
        <w:t xml:space="preserve">; asimismo se consigna, que se aprueba la habilitación urbana ejecutada con obras parciales con zonificación otros Usos (OU). </w:t>
      </w:r>
      <w:r w:rsidRPr="002D6782">
        <w:rPr>
          <w:rFonts w:cs="Arial"/>
          <w:b/>
          <w:bCs/>
          <w:sz w:val="24"/>
          <w:szCs w:val="15"/>
        </w:rPr>
        <w:t xml:space="preserve">- </w:t>
      </w:r>
      <w:r w:rsidRPr="002D6782">
        <w:rPr>
          <w:rFonts w:cs="Arial"/>
          <w:sz w:val="24"/>
          <w:szCs w:val="15"/>
        </w:rPr>
        <w:t xml:space="preserve">El diez de octubre de dos mil dieciséis, Telefónica del Perú Sociedad Anónima Abierta, solicitó la liquidación en valor monetario del aporte reglamentario adjunto de la Resolución de Licencia de Habilitación Urbana N.° 057-2016-SGLAUGDUGT/ ML, señalando que se desarrollará un centro de esparcimiento Distrito Verde enfocadas para brindar zonas de recreación a los trabajadores de su empresa, solicita a </w:t>
      </w:r>
      <w:r w:rsidR="0094625A" w:rsidRPr="002D6782">
        <w:rPr>
          <w:rFonts w:cs="Arial"/>
          <w:sz w:val="24"/>
          <w:szCs w:val="15"/>
        </w:rPr>
        <w:t xml:space="preserve">Serpar </w:t>
      </w:r>
      <w:r w:rsidRPr="002D6782">
        <w:rPr>
          <w:rFonts w:cs="Arial"/>
          <w:sz w:val="24"/>
          <w:szCs w:val="15"/>
        </w:rPr>
        <w:t xml:space="preserve">la redención en dinero de los aportes reglamentarios. </w:t>
      </w:r>
      <w:r w:rsidRPr="002D6782">
        <w:rPr>
          <w:rFonts w:cs="Arial"/>
          <w:b/>
          <w:bCs/>
          <w:sz w:val="24"/>
          <w:szCs w:val="15"/>
        </w:rPr>
        <w:t xml:space="preserve">- </w:t>
      </w:r>
      <w:r w:rsidRPr="002D6782">
        <w:rPr>
          <w:rFonts w:cs="Arial"/>
          <w:sz w:val="24"/>
          <w:szCs w:val="15"/>
        </w:rPr>
        <w:t xml:space="preserve">Ante ello, se emitió la Resolución de Gerencia de Aportes y Patrimonios Inmobiliario N.° 549-2016, del veintinueve de diciembre de dos mil dieciséis, que resolvió </w:t>
      </w:r>
      <w:r w:rsidRPr="002D6782">
        <w:rPr>
          <w:rFonts w:cs="Arial"/>
          <w:b/>
          <w:bCs/>
          <w:sz w:val="24"/>
          <w:szCs w:val="15"/>
        </w:rPr>
        <w:t xml:space="preserve">aprobar la valorización comercial </w:t>
      </w:r>
      <w:r w:rsidRPr="002D6782">
        <w:rPr>
          <w:rFonts w:cs="Arial"/>
          <w:sz w:val="24"/>
          <w:szCs w:val="15"/>
        </w:rPr>
        <w:t>del área de 8,315.00 m</w:t>
      </w:r>
      <w:r w:rsidRPr="002D6782">
        <w:rPr>
          <w:rFonts w:cs="Arial"/>
          <w:sz w:val="24"/>
          <w:szCs w:val="9"/>
        </w:rPr>
        <w:t>2</w:t>
      </w:r>
      <w:r w:rsidRPr="002D6782">
        <w:rPr>
          <w:rFonts w:cs="Arial"/>
          <w:sz w:val="24"/>
          <w:szCs w:val="15"/>
        </w:rPr>
        <w:t xml:space="preserve">, correspondientes al aporte para Parques Zonales, ascendente a la suma de S/. 2´125,572.25. </w:t>
      </w:r>
      <w:r w:rsidRPr="002D6782">
        <w:rPr>
          <w:rFonts w:cs="Arial"/>
          <w:b/>
          <w:bCs/>
          <w:sz w:val="24"/>
          <w:szCs w:val="15"/>
        </w:rPr>
        <w:t xml:space="preserve">- </w:t>
      </w:r>
      <w:r w:rsidRPr="002D6782">
        <w:rPr>
          <w:rFonts w:cs="Arial"/>
          <w:sz w:val="24"/>
          <w:szCs w:val="15"/>
        </w:rPr>
        <w:t xml:space="preserve">Mediante el recurso de reconsideración, del veintisiete de enero de dos mil diecisiete, interpuesto por Telefónica del Perú Sociedad Anónima argumenta que no corresponde el pago de aportes para parque zonal de predios con zonificación “usos especiales”. </w:t>
      </w:r>
      <w:r w:rsidRPr="002D6782">
        <w:rPr>
          <w:rFonts w:cs="Arial"/>
          <w:b/>
          <w:bCs/>
          <w:sz w:val="24"/>
          <w:szCs w:val="15"/>
        </w:rPr>
        <w:t xml:space="preserve">- </w:t>
      </w:r>
      <w:r w:rsidRPr="002D6782">
        <w:rPr>
          <w:rFonts w:cs="Arial"/>
          <w:sz w:val="24"/>
          <w:szCs w:val="15"/>
        </w:rPr>
        <w:t xml:space="preserve">Por Resolución </w:t>
      </w:r>
      <w:r w:rsidRPr="002D6782">
        <w:rPr>
          <w:rFonts w:cs="Arial"/>
          <w:sz w:val="24"/>
          <w:szCs w:val="15"/>
        </w:rPr>
        <w:lastRenderedPageBreak/>
        <w:t>de Gerencia de Aportes y Patrimonio Inmobiliario N.° 066-2017, de fecha seis de marzo de dos mil diecisiete, se declaró infundado el recurso de reconsideración; sin embargo, dicho acto administrativo fue declarado nulo</w:t>
      </w:r>
      <w:r w:rsidRPr="002D6782">
        <w:rPr>
          <w:rFonts w:cs="Arial"/>
          <w:b/>
          <w:bCs/>
          <w:sz w:val="24"/>
          <w:szCs w:val="15"/>
        </w:rPr>
        <w:t xml:space="preserve">, </w:t>
      </w:r>
      <w:r w:rsidRPr="002D6782">
        <w:rPr>
          <w:rFonts w:cs="Arial"/>
          <w:sz w:val="24"/>
          <w:szCs w:val="15"/>
        </w:rPr>
        <w:t xml:space="preserve">por Resolución de Secretaría de Gerencia N.° 330-2017, del veinticinco de septiembre de dos mil diecisiete, por no haberse atendido la solicitud de audiencia presentado por la empresa administrada. </w:t>
      </w:r>
      <w:r w:rsidRPr="002D6782">
        <w:rPr>
          <w:rFonts w:cs="Arial"/>
          <w:b/>
          <w:bCs/>
          <w:sz w:val="24"/>
          <w:szCs w:val="15"/>
        </w:rPr>
        <w:t xml:space="preserve">- </w:t>
      </w:r>
      <w:r w:rsidRPr="002D6782">
        <w:rPr>
          <w:rFonts w:cs="Arial"/>
          <w:sz w:val="24"/>
          <w:szCs w:val="15"/>
        </w:rPr>
        <w:t xml:space="preserve">Mediante la Resolución de Gerencia de Aportes y Patrimonio Inmobiliario N.° 339-2017, de fecha nueve de noviembre de dos mil diecisiete, se declara nuevamente infundado el recurso de reconsideración. </w:t>
      </w:r>
      <w:r w:rsidRPr="002D6782">
        <w:rPr>
          <w:rFonts w:cs="Arial"/>
          <w:b/>
          <w:bCs/>
          <w:sz w:val="24"/>
          <w:szCs w:val="15"/>
        </w:rPr>
        <w:t xml:space="preserve">- </w:t>
      </w:r>
      <w:r w:rsidRPr="002D6782">
        <w:rPr>
          <w:rFonts w:cs="Arial"/>
          <w:sz w:val="24"/>
          <w:szCs w:val="15"/>
        </w:rPr>
        <w:t xml:space="preserve">Ante ello, la empresa administrada interpuso recurso administrativo de apelación, el cual por Resolución de Secretaria General N.° 085-2018, de fecha veintiuno de marzo de dos mil dieciocho, resolvió declarar infundado el recurso de apelación. </w:t>
      </w:r>
      <w:r w:rsidRPr="002D6782">
        <w:rPr>
          <w:rFonts w:cs="Arial"/>
          <w:b/>
          <w:bCs/>
          <w:sz w:val="24"/>
          <w:szCs w:val="15"/>
        </w:rPr>
        <w:t xml:space="preserve">3.2. De lo actuado en sede judicial. 1) Objeto de la pretensión demandada. </w:t>
      </w:r>
      <w:r w:rsidRPr="002D6782">
        <w:rPr>
          <w:rFonts w:cs="Arial"/>
          <w:sz w:val="24"/>
          <w:szCs w:val="15"/>
        </w:rPr>
        <w:t xml:space="preserve">Mediante el escrito de demanda, de fecha veintiséis de junio de dos mil dieciocho, obrante a fojas veintiuno del expediente judicial digital - No Eje, subsanado a fojas cuarenta y tres del expediente judicial digital - No Eje, Telefónica del Perú Sociedad Anónima Abierta (actualmente Inmobideas Sociedad Anónima Cerrada - sucesora procesal), solicita como </w:t>
      </w:r>
      <w:r w:rsidRPr="002D6782">
        <w:rPr>
          <w:rFonts w:cs="Arial"/>
          <w:sz w:val="24"/>
          <w:szCs w:val="15"/>
          <w:u w:val="single"/>
        </w:rPr>
        <w:t>pretensión principal</w:t>
      </w:r>
      <w:r w:rsidRPr="002D6782">
        <w:rPr>
          <w:rFonts w:cs="Arial"/>
          <w:sz w:val="24"/>
          <w:szCs w:val="15"/>
        </w:rPr>
        <w:t xml:space="preserve"> que: Se declare la nulidad de la Resolución de Secretaria General N.° 085-2018, emitida por </w:t>
      </w:r>
      <w:r w:rsidR="0094625A" w:rsidRPr="002D6782">
        <w:rPr>
          <w:rFonts w:cs="Arial"/>
          <w:sz w:val="24"/>
          <w:szCs w:val="15"/>
        </w:rPr>
        <w:t>Serpar</w:t>
      </w:r>
      <w:r w:rsidRPr="002D6782">
        <w:rPr>
          <w:rFonts w:cs="Arial"/>
          <w:sz w:val="24"/>
          <w:szCs w:val="15"/>
        </w:rPr>
        <w:t xml:space="preserve">, que dispone el pago del aporte de habilitación urbana –para parque zonal correspondiente al predio de propiedad de Telefónica por un valor de S/. 2´125,572.25 (por padecer de i.- vulneración al principio de legalidad, ii) ausencia de motivación externa, iii.- ausencia de motivación suficiente, y iv) contravenir el derecho a la defensa de telefónica); </w:t>
      </w:r>
      <w:r w:rsidRPr="002D6782">
        <w:rPr>
          <w:rFonts w:cs="Arial"/>
          <w:sz w:val="24"/>
          <w:szCs w:val="15"/>
          <w:u w:val="single"/>
        </w:rPr>
        <w:t>pretensión subordinada principal</w:t>
      </w:r>
      <w:r w:rsidRPr="002D6782">
        <w:rPr>
          <w:rFonts w:cs="Arial"/>
          <w:sz w:val="24"/>
          <w:szCs w:val="15"/>
        </w:rPr>
        <w:t xml:space="preserve">: solicita que se revoque la Resolución de Secretaria General N.° 085-2018, emitida por </w:t>
      </w:r>
      <w:r w:rsidR="0094625A" w:rsidRPr="002D6782">
        <w:rPr>
          <w:rFonts w:cs="Arial"/>
          <w:sz w:val="24"/>
          <w:szCs w:val="15"/>
        </w:rPr>
        <w:t xml:space="preserve">Serpar </w:t>
      </w:r>
      <w:r w:rsidRPr="002D6782">
        <w:rPr>
          <w:rFonts w:cs="Arial"/>
          <w:sz w:val="24"/>
          <w:szCs w:val="15"/>
        </w:rPr>
        <w:t xml:space="preserve">(por error en la aplicación e interpretación del artículo 3° de la Norma TH 0.40 del Reglamento Nacional de Edificaciones), y como </w:t>
      </w:r>
      <w:r w:rsidRPr="002D6782">
        <w:rPr>
          <w:rFonts w:cs="Arial"/>
          <w:sz w:val="24"/>
          <w:szCs w:val="15"/>
          <w:u w:val="single"/>
        </w:rPr>
        <w:t>pretensión subordinada común</w:t>
      </w:r>
      <w:r w:rsidRPr="002D6782">
        <w:rPr>
          <w:rFonts w:cs="Arial"/>
          <w:sz w:val="24"/>
          <w:szCs w:val="15"/>
        </w:rPr>
        <w:t xml:space="preserve">: Solicita que se revoque la Resolución de Secretaria General N.° 085-2018, emitida por </w:t>
      </w:r>
      <w:r w:rsidR="0094625A" w:rsidRPr="002D6782">
        <w:rPr>
          <w:rFonts w:cs="Arial"/>
          <w:sz w:val="24"/>
          <w:szCs w:val="15"/>
        </w:rPr>
        <w:t xml:space="preserve">Serpar </w:t>
      </w:r>
      <w:r w:rsidRPr="002D6782">
        <w:rPr>
          <w:rFonts w:cs="Arial"/>
          <w:sz w:val="24"/>
          <w:szCs w:val="15"/>
        </w:rPr>
        <w:t xml:space="preserve">(al no haber aplicado o interpretado correctamente el artículo 9° de la Ordenanza N.° 836 expedida por la Municipalidad Metropolitana de Lima que, establece que en los casos en donde el inmueble se utiliza para fines recreacionales, no corresponde el pago de aporte de habilitación urbana). </w:t>
      </w:r>
      <w:r w:rsidRPr="002D6782">
        <w:rPr>
          <w:rFonts w:cs="Arial"/>
          <w:b/>
          <w:bCs/>
          <w:sz w:val="24"/>
          <w:szCs w:val="15"/>
        </w:rPr>
        <w:t xml:space="preserve">2) Fundamentos de la sentencia de primera instancia. </w:t>
      </w:r>
      <w:r w:rsidRPr="002D6782">
        <w:rPr>
          <w:rFonts w:cs="Arial"/>
          <w:sz w:val="24"/>
          <w:szCs w:val="15"/>
        </w:rPr>
        <w:t xml:space="preserve">Mediante la sentencia contenida en la resolución número seis, de fecha veintitrés de julio de dos mil diecinueve, obrante a fojas ciento cuarenta y cuatro del expediente judicial digital - No Eje, el Octavo Juzgado Especializado en lo Contencioso Administrativo de la Corte Superior de Justicia de Lima, declaró fundada la demanda; en consecuencia, la nulidad de la Resolución de Secretaría General N.° 085-2018, de fecha veintiuno de marzo de dos mil dieciocho. El juzgador consideró, que el indicador de zonificación atribuido al predio de la accionante (OU), corresponde a la clasificación de Usos Especiales según lo previsto en el numeral 7) del artículo 32 del Reglamento de Acondicionamiento Territorial y Desarrollo Urbano, aprobado por Decreto Supremo N.° 004-2011-Vivienda aplicable a autos por razones de temporalidad; en ese sentido, teniendo en cuenta el artículo 3° de la Norma TH.040 del Reglamento Nacional de Edificaciones, las habilitaciones para Usos Especiales no están obligados a entregar aportes de habilitación, consecuentemente atendiendo a esta norma de carácter nacional, estando al tipo de zonificación antes mencionado, la demandante no está obligada al pago </w:t>
      </w:r>
      <w:r w:rsidRPr="002D6782">
        <w:rPr>
          <w:rFonts w:cs="Arial"/>
          <w:sz w:val="24"/>
          <w:szCs w:val="15"/>
        </w:rPr>
        <w:lastRenderedPageBreak/>
        <w:t xml:space="preserve">por concepto de aportes de habilitación. Asimismo, se considera que, debe prevalecerse, por jerarquía normativa, la norma de carácter nacional, es decir, el Reglamento Nacional de Edificaciones, debido a la discrepancia identificada entre esta norma y la mencionada Ordenanza, que establece que las habilitaciones urbanas con fines de “Otros Usos” también deben cumplir con los aportes reglamentarios. En consecuencia, al haber la entidad demandada aprobado la valorización comercial mediante la Resolución de Gerencia de Aportes y Patrimonio Inmobiliario N.° 549-2016, del veintinueve de diciembre de dos mil dieciséis, consideró que, la Ordenanza N.° 836-MML, ha infringido el principio de legalidad, particularmente el principio de unidad establecido en el inciso a) del numeral 2.4 del artículo 2° de la Ley N.° 29090. </w:t>
      </w:r>
      <w:r w:rsidRPr="002D6782">
        <w:rPr>
          <w:rFonts w:cs="Arial"/>
          <w:b/>
          <w:bCs/>
          <w:sz w:val="24"/>
          <w:szCs w:val="15"/>
        </w:rPr>
        <w:t xml:space="preserve">3) Fundamentos de la sentencia de vista. </w:t>
      </w:r>
      <w:r w:rsidRPr="002D6782">
        <w:rPr>
          <w:rFonts w:cs="Arial"/>
          <w:sz w:val="24"/>
          <w:szCs w:val="15"/>
        </w:rPr>
        <w:t xml:space="preserve">Ante el recurso de apelación interpuesto por el Servicio de Parques de Lima - </w:t>
      </w:r>
      <w:r w:rsidR="0094625A" w:rsidRPr="002D6782">
        <w:rPr>
          <w:rFonts w:cs="Arial"/>
          <w:sz w:val="24"/>
          <w:szCs w:val="15"/>
        </w:rPr>
        <w:t xml:space="preserve">Serpar </w:t>
      </w:r>
      <w:r w:rsidRPr="002D6782">
        <w:rPr>
          <w:rFonts w:cs="Arial"/>
          <w:sz w:val="24"/>
          <w:szCs w:val="15"/>
        </w:rPr>
        <w:t xml:space="preserve">Lima, la Sala Especializada en lo Contencioso Administrativo Transitoria de la Corte Superior de Justicia de Lima, mediante resolución número cinco, de fecha siete de mayo de dos mil veintiuno, obrante a fojas doscientos treinta y cuatro del expediente judicial digital - No Eje, resolvió revocar la sentencia apelada que, declaró fundada la demanda, y reformándola, la declararon infundada. El Colegiado Superior, consideró que el artículo 3° de la Ley de regulación de habilitaciones urbanas y de edificaciones N.° 29090, publicada el veinticinco de septiembre de dos mil siete, y sus modificatorias señala como regla general que, la habilitación urbana es un proceso que requiere de aportes gratuitos y obligatorios para fines de recreación pública, que son áreas de uso público irrestricto; así como para servicios públicos complementarios, para educación, salud y otros fines, en lotes regulares edificables que constituyen bienes de dominio público del Estado, susceptibles de inscripción en el Registro de Predios de la Superintendencia Nacional de los Registros Públicos; no obstante, también precisa los únicos casos en que las habilitaciones urbanas están exonerados de realizar los aportes reglamentarios, es en los proyectos de inversión pública, de asociación público-privada o de concesión que se realicen para la prestación de servicios públicos esenciales o para la ejecución de infraestructura pública. Que, la Octava Disposición Final de la ley referida señala que, a la entrada en vigencia de la presente Ley, quedan derogadas las Leyes Números 26878 y 27135, el Título II de la Ley N.° 27157 y todas las disposiciones legales que se opongan a la presente Ley; por lo que, considera al artículo 3° de la Norma Técnica N.° TH.40 como derogada. Asimismo, consideran que, es un hecho acreditado y no discutido que el proceso de Habilitación Urbana Ejecutada con Obras Parciales, ubicado en Av.2, esquina Calle A, parte de la Parcela A-2, U.C 10421, distrito de Lurín, provincia y departamento de Lima, tiene como Zonificación Otros Usos o Usos especiales, entendiéndose como indicador (OU), habilitación que no se encuentra exceptuado de los aportes reglamentarios para parques zonales, pues, si bien se encuentra destinado a fines recreacionales, no está destinado al uso público o que resulte de dominio público, en tanto no permita satisfacer las necesidades de recreación, áreas verdes, juegos, etc. a que aspiran los ciudadanos sin restricción alguna. Que, la Ordenanza N.° 836-MML no ha vulnerado el principio de legalidad y el principio de Unidad previsto en el numeral 2.4 del artículo 2° de la Ley N.° 29090; pues, precisamente, la Ley referida ha señalado expresamente que, todas las habilitaciones urbanas están </w:t>
      </w:r>
      <w:r w:rsidRPr="002D6782">
        <w:rPr>
          <w:rFonts w:cs="Arial"/>
          <w:sz w:val="24"/>
          <w:szCs w:val="15"/>
        </w:rPr>
        <w:lastRenderedPageBreak/>
        <w:t xml:space="preserve">obligadas de efectuar los aportes reglamentarios, salvo los referidos a proyectos destinados al uso público o constituyen bienes de dominio público. </w:t>
      </w:r>
      <w:r w:rsidRPr="002D6782">
        <w:rPr>
          <w:rFonts w:cs="Arial"/>
          <w:b/>
          <w:bCs/>
          <w:sz w:val="24"/>
          <w:szCs w:val="15"/>
        </w:rPr>
        <w:t xml:space="preserve">IV. Recurso de casación: </w:t>
      </w:r>
      <w:r w:rsidRPr="002D6782">
        <w:rPr>
          <w:rFonts w:cs="Arial"/>
          <w:sz w:val="24"/>
          <w:szCs w:val="15"/>
        </w:rPr>
        <w:t xml:space="preserve">Mediante la resolución –auto calificatorio del recurso de casación– de fecha veinticinco de abril de dos mil veinticuatro, se declaró procedente el recurso de casación interpuesto por la </w:t>
      </w:r>
      <w:r w:rsidR="0094625A" w:rsidRPr="002D6782">
        <w:rPr>
          <w:rFonts w:cs="Arial"/>
          <w:b/>
          <w:bCs/>
          <w:sz w:val="24"/>
          <w:szCs w:val="15"/>
        </w:rPr>
        <w:t xml:space="preserve">Inmobideas </w:t>
      </w:r>
      <w:r w:rsidRPr="002D6782">
        <w:rPr>
          <w:rFonts w:cs="Arial"/>
          <w:b/>
          <w:bCs/>
          <w:sz w:val="24"/>
          <w:szCs w:val="15"/>
        </w:rPr>
        <w:t>Sociedad Anónima Cerrada</w:t>
      </w:r>
      <w:r w:rsidRPr="002D6782">
        <w:rPr>
          <w:rFonts w:cs="Arial"/>
          <w:sz w:val="24"/>
          <w:szCs w:val="15"/>
        </w:rPr>
        <w:t xml:space="preserve">, en mérito a las siguientes infracciones normativas: </w:t>
      </w:r>
      <w:r w:rsidRPr="002D6782">
        <w:rPr>
          <w:rFonts w:cs="Arial"/>
          <w:b/>
          <w:bCs/>
          <w:sz w:val="24"/>
          <w:szCs w:val="15"/>
        </w:rPr>
        <w:t xml:space="preserve">a) Infracción normativa de interpretación incorrecta del artículo 3° de la Ley N.° 29090 y del artículo 3° de la Norma Técnica TH.40 del RNE. </w:t>
      </w:r>
      <w:r w:rsidRPr="002D6782">
        <w:rPr>
          <w:rFonts w:cs="Arial"/>
          <w:sz w:val="24"/>
          <w:szCs w:val="15"/>
        </w:rPr>
        <w:t xml:space="preserve">Sostiene que, la Sala Superior ha afectado el deber de congruencia pues ha incorporado un aspecto que nunca formó parte del contradictorio, ni de la etapa administrativa, cuando sostiene que el artículo 3° de la Ley N.° 29090 derogó el artículo 3° de la Norma Técnica TH. 40 del Reglamento Nacional de Edificaciones. Premisa que resulta errada y generó que la Sala Superior se aleje del correcto análisis de la controversia respecto a cuál es la norma que prima en su aplicación en el caso de autos, sobre habilitación para usos especiales, para fines recreacionales: la norma general y el artículo 3° y siguientes de la Norma Técnica TH.40 del Reglamento Nacional de Edificaciones que dispone que las habilitaciones para usos especiales que agregan valor/ calidad de vida a la localidad en la que se ubican, no están obligadas de entregar aportes de habilitación urbana o la norma local como es la Ordenanza 836-MML que regula la obligación de efectuar los citados aportes. </w:t>
      </w:r>
      <w:r w:rsidRPr="002D6782">
        <w:rPr>
          <w:rFonts w:cs="Arial"/>
          <w:b/>
          <w:bCs/>
          <w:sz w:val="24"/>
          <w:szCs w:val="15"/>
        </w:rPr>
        <w:t xml:space="preserve">b) Vulneración de los artículos 83 y 87 del Código Procesal Civil (de aplicación supletoria). </w:t>
      </w:r>
      <w:r w:rsidRPr="002D6782">
        <w:rPr>
          <w:rFonts w:cs="Arial"/>
          <w:sz w:val="24"/>
          <w:szCs w:val="15"/>
        </w:rPr>
        <w:t xml:space="preserve">Indica que, la sentencia de vista incurre en la causal que denuncia, vulnerando su derecho al debido proceso, tutela jurisdiccional y la garantía de la doble instancia, pues la Sala de mérito si bien decidió revocar la sentencia apelada, declarando infundada la demanda, omitió el reenvío de la causa para que el juzgador emita pronunciamiento respecto a las pretensiones subordinadas de acuerdo con lo previsto en las normas denunciadas. </w:t>
      </w:r>
      <w:r w:rsidRPr="002D6782">
        <w:rPr>
          <w:rFonts w:cs="Arial"/>
          <w:b/>
          <w:bCs/>
          <w:sz w:val="24"/>
          <w:szCs w:val="15"/>
        </w:rPr>
        <w:t xml:space="preserve">V. Consideraciones de la sala suprema: </w:t>
      </w:r>
      <w:r w:rsidRPr="002D6782">
        <w:rPr>
          <w:rFonts w:cs="Arial"/>
          <w:b/>
          <w:bCs/>
          <w:sz w:val="24"/>
          <w:szCs w:val="15"/>
          <w:u w:val="single"/>
        </w:rPr>
        <w:t>Primero</w:t>
      </w:r>
      <w:r w:rsidRPr="002D6782">
        <w:rPr>
          <w:rFonts w:cs="Arial"/>
          <w:b/>
          <w:bCs/>
          <w:sz w:val="24"/>
          <w:szCs w:val="15"/>
        </w:rPr>
        <w:t xml:space="preserve">: Del recurso de casación 1.1. </w:t>
      </w:r>
      <w:r w:rsidRPr="002D6782">
        <w:rPr>
          <w:rFonts w:cs="Arial"/>
          <w:sz w:val="24"/>
          <w:szCs w:val="15"/>
        </w:rPr>
        <w:t xml:space="preserve">El recurso de casación tiene como fines esenciales la correcta aplicación e interpretación del derecho objetivo y la unificación de la jurisprudencia nacional de la Corte Suprema de Justicia, conforme se señala en el artículo 384 del Código Procesal Civil. </w:t>
      </w:r>
      <w:r w:rsidRPr="002D6782">
        <w:rPr>
          <w:rFonts w:cs="Arial"/>
          <w:b/>
          <w:bCs/>
          <w:sz w:val="24"/>
          <w:szCs w:val="15"/>
        </w:rPr>
        <w:t xml:space="preserve">1.2. </w:t>
      </w:r>
      <w:r w:rsidRPr="002D6782">
        <w:rPr>
          <w:rFonts w:cs="Arial"/>
          <w:sz w:val="24"/>
          <w:szCs w:val="15"/>
        </w:rPr>
        <w:t>Respecto a la causal de infracción normativa, según Rafael de Pina, “</w:t>
      </w:r>
      <w:r w:rsidRPr="002D6782">
        <w:rPr>
          <w:rFonts w:cs="Arial"/>
          <w:i/>
          <w:iCs/>
          <w:sz w:val="24"/>
          <w:szCs w:val="15"/>
        </w:rPr>
        <w:t>[e]l recurso de casación ha de fundarse en motivos previamente señalados en la ley. Puede interponerse por infracción de ley o por quebrantamiento de forma. Los motivos de casación por infracción de ley se refieren a la violación en el fallo de leyes que debieran aplicarse al caso, a la falta de congruencia de la resolución judicial con las pretensiones deducidas por las partes, a la falta de competencia etc.; los motivos de la casación por quebrantamiento de forma afectan (...) a infracciones en el procedimiento</w:t>
      </w:r>
      <w:r w:rsidRPr="002D6782">
        <w:rPr>
          <w:rFonts w:cs="Arial"/>
          <w:sz w:val="24"/>
          <w:szCs w:val="15"/>
        </w:rPr>
        <w:t>”</w:t>
      </w:r>
      <w:r w:rsidRPr="002D6782">
        <w:rPr>
          <w:rFonts w:cs="Arial"/>
          <w:sz w:val="24"/>
          <w:szCs w:val="9"/>
          <w:vertAlign w:val="superscript"/>
        </w:rPr>
        <w:t>1</w:t>
      </w:r>
      <w:r w:rsidRPr="002D6782">
        <w:rPr>
          <w:rFonts w:cs="Arial"/>
          <w:sz w:val="24"/>
          <w:szCs w:val="15"/>
        </w:rPr>
        <w:t>. Así, se entiende que la causal de infracción normativa supone una violación a la ley, la que puede presentarse en la forma o en el fondo</w:t>
      </w:r>
      <w:r w:rsidRPr="002D6782">
        <w:rPr>
          <w:rFonts w:cs="Arial"/>
          <w:sz w:val="24"/>
          <w:szCs w:val="9"/>
          <w:vertAlign w:val="superscript"/>
        </w:rPr>
        <w:t>2</w:t>
      </w:r>
      <w:r w:rsidRPr="002D6782">
        <w:rPr>
          <w:rFonts w:cs="Arial"/>
          <w:sz w:val="24"/>
          <w:szCs w:val="15"/>
        </w:rPr>
        <w:t xml:space="preserve">. </w:t>
      </w:r>
      <w:r w:rsidRPr="002D6782">
        <w:rPr>
          <w:rFonts w:cs="Arial"/>
          <w:b/>
          <w:bCs/>
          <w:sz w:val="24"/>
          <w:szCs w:val="15"/>
        </w:rPr>
        <w:t xml:space="preserve">1.3. </w:t>
      </w:r>
      <w:r w:rsidRPr="002D6782">
        <w:rPr>
          <w:rFonts w:cs="Arial"/>
          <w:sz w:val="24"/>
          <w:szCs w:val="15"/>
        </w:rPr>
        <w:t xml:space="preserve">En ese sentido, el recurso de casación es un medio impugnatorio de carácter excepcional, cuya concesión y presupuestos de admisión y procedencia están vinculados a los ‘fines esenciales’ para los cuales ha sido previsto, esto es, la correcta aplicación e interpretación del derecho objetivo y la unificación de la jurisprudencia nacional por la Corte Suprema de Justicia, como es señalado en el primer párrafo de la presente consideración; siendo así, sus decisiones en el sistema jurídico del país tienen efectos multiplicadores y, a su vez, permiten la </w:t>
      </w:r>
      <w:r w:rsidRPr="002D6782">
        <w:rPr>
          <w:rFonts w:cs="Arial"/>
          <w:sz w:val="24"/>
          <w:szCs w:val="15"/>
        </w:rPr>
        <w:lastRenderedPageBreak/>
        <w:t xml:space="preserve">estabilidad jurídica y el desarrollo de la nación, de allí la importancia de aquellas. </w:t>
      </w:r>
      <w:r w:rsidRPr="002D6782">
        <w:rPr>
          <w:rFonts w:cs="Arial"/>
          <w:b/>
          <w:bCs/>
          <w:sz w:val="24"/>
          <w:szCs w:val="15"/>
        </w:rPr>
        <w:t xml:space="preserve">1.4. </w:t>
      </w:r>
      <w:r w:rsidRPr="002D6782">
        <w:rPr>
          <w:rFonts w:cs="Arial"/>
          <w:sz w:val="24"/>
          <w:szCs w:val="15"/>
        </w:rPr>
        <w:t xml:space="preserve">Del mismo modo, corresponde mencionar de manera preliminar, que la función nomofiláctica del recurso de casación garantiza que los Tribunales Supremos sean los encargados de salvaguardar el respeto del órgano jurisdiccional al derecho objetivo, evitando así cualquier tipo de afectación a normas jurídicas materiales y procesales, y procurando, conforme se menciona en el anotado artículo 384 del Código Procesal Civil, su adecuada aplicación al caso concreto. </w:t>
      </w:r>
      <w:r w:rsidRPr="002D6782">
        <w:rPr>
          <w:rFonts w:cs="Arial"/>
          <w:b/>
          <w:bCs/>
          <w:sz w:val="24"/>
          <w:szCs w:val="15"/>
          <w:u w:val="single"/>
        </w:rPr>
        <w:t>Segundo</w:t>
      </w:r>
      <w:r w:rsidRPr="002D6782">
        <w:rPr>
          <w:rFonts w:cs="Arial"/>
          <w:b/>
          <w:bCs/>
          <w:sz w:val="24"/>
          <w:szCs w:val="15"/>
        </w:rPr>
        <w:t xml:space="preserve">: Cuestión fáctica asentada en sede judicial. </w:t>
      </w:r>
      <w:r w:rsidRPr="002D6782">
        <w:rPr>
          <w:rFonts w:cs="Arial"/>
          <w:sz w:val="24"/>
          <w:szCs w:val="15"/>
        </w:rPr>
        <w:t xml:space="preserve">Es necesario mencionar que en sede casatoria no se evalúan pruebas ni se introducen hechos que, no hayan sido discutidos a nivel administrativo ni judicial, por lo que, habiéndose precisado el propósito del recurso de casación, y a efectos de verificar la adecuada aplicación del derecho objetivo en el presente caso, se procede a exponer lo establecido por las instancias de mérito en el presente proceso: </w:t>
      </w:r>
      <w:r w:rsidRPr="002D6782">
        <w:rPr>
          <w:rFonts w:cs="Arial"/>
          <w:b/>
          <w:bCs/>
          <w:sz w:val="24"/>
          <w:szCs w:val="15"/>
        </w:rPr>
        <w:t xml:space="preserve">- </w:t>
      </w:r>
      <w:r w:rsidRPr="002D6782">
        <w:rPr>
          <w:rFonts w:cs="Arial"/>
          <w:sz w:val="24"/>
          <w:szCs w:val="15"/>
        </w:rPr>
        <w:t>Por Resolución de Licencia de Habilitación Urbana N.° 057-2016-SGLAUGDUGT/ ML, de fecha veinticinco de julio de dos mil dieciséis, la Municipalidad Distrital de Lurín, aprueba los Planos aprobados de lotización y vías N.° 006-2016-SGLAU-GDUGT/ ML (U.C 10421, Parcela A-2), en el cual se estableció entre otros un área de aportes a SERPAR de 8,315.00 m</w:t>
      </w:r>
      <w:r w:rsidRPr="002D6782">
        <w:rPr>
          <w:rFonts w:cs="Arial"/>
          <w:sz w:val="24"/>
          <w:szCs w:val="9"/>
          <w:vertAlign w:val="superscript"/>
        </w:rPr>
        <w:t>2</w:t>
      </w:r>
      <w:r w:rsidRPr="002D6782">
        <w:rPr>
          <w:rFonts w:cs="Arial"/>
          <w:sz w:val="24"/>
          <w:szCs w:val="15"/>
        </w:rPr>
        <w:t xml:space="preserve">; asimismo se consigna, que se aprueba la habilitación urbana ejecutada con obras parciales con zonificación otros usos (OU)., </w:t>
      </w:r>
      <w:r w:rsidRPr="002D6782">
        <w:rPr>
          <w:rFonts w:cs="Arial"/>
          <w:b/>
          <w:bCs/>
          <w:sz w:val="24"/>
          <w:szCs w:val="15"/>
        </w:rPr>
        <w:t xml:space="preserve">- </w:t>
      </w:r>
      <w:r w:rsidRPr="002D6782">
        <w:rPr>
          <w:rFonts w:cs="Arial"/>
          <w:sz w:val="24"/>
          <w:szCs w:val="15"/>
        </w:rPr>
        <w:t>El diez de octubre de dos mil dieciséis, Telefónica del Perú Sociedad Anónima Abierta, solicitó la liquidación en valor monetario del aporte reglamentario indicado en la Resolución de Licencia de Habilitación Urbana N.° 057-2016-SGLAUGDUGT/ ML, para el desarrollo de un centro de esparcimiento “</w:t>
      </w:r>
      <w:r w:rsidRPr="002D6782">
        <w:rPr>
          <w:rFonts w:cs="Arial"/>
          <w:i/>
          <w:iCs/>
          <w:sz w:val="24"/>
          <w:szCs w:val="15"/>
        </w:rPr>
        <w:t>Distrito Verde</w:t>
      </w:r>
      <w:r w:rsidRPr="002D6782">
        <w:rPr>
          <w:rFonts w:cs="Arial"/>
          <w:sz w:val="24"/>
          <w:szCs w:val="15"/>
        </w:rPr>
        <w:t xml:space="preserve">”, destinado a ofrecer zonas de recreación a sus trabajadores, pidiendo a SERPAR la redención en dinero de los aportes reglamentarios. </w:t>
      </w:r>
      <w:r w:rsidRPr="002D6782">
        <w:rPr>
          <w:rFonts w:cs="Arial"/>
          <w:b/>
          <w:bCs/>
          <w:sz w:val="24"/>
          <w:szCs w:val="15"/>
        </w:rPr>
        <w:t xml:space="preserve">- </w:t>
      </w:r>
      <w:r w:rsidRPr="002D6782">
        <w:rPr>
          <w:rFonts w:cs="Arial"/>
          <w:sz w:val="24"/>
          <w:szCs w:val="15"/>
        </w:rPr>
        <w:t>La Resolución de Gerencia de Aportes y Patrimonios Inmobiliario N.° 549-2016, del veintinueve de diciembre de dos mil dieciséis, que resolvió aprobar la valorización Comercial del área de 8,315.00 m</w:t>
      </w:r>
      <w:r w:rsidRPr="002D6782">
        <w:rPr>
          <w:rFonts w:cs="Arial"/>
          <w:sz w:val="24"/>
          <w:szCs w:val="9"/>
        </w:rPr>
        <w:t>2</w:t>
      </w:r>
      <w:r w:rsidRPr="002D6782">
        <w:rPr>
          <w:rFonts w:cs="Arial"/>
          <w:sz w:val="24"/>
          <w:szCs w:val="15"/>
        </w:rPr>
        <w:t xml:space="preserve">, correspondientes al aporte para Parques Zonales, ascendente a la suma de S/. 2´125,572.25 soles. </w:t>
      </w:r>
      <w:r w:rsidRPr="002D6782">
        <w:rPr>
          <w:rFonts w:cs="Arial"/>
          <w:b/>
          <w:bCs/>
          <w:sz w:val="24"/>
          <w:szCs w:val="15"/>
        </w:rPr>
        <w:t xml:space="preserve">- </w:t>
      </w:r>
      <w:r w:rsidRPr="002D6782">
        <w:rPr>
          <w:rFonts w:cs="Arial"/>
          <w:sz w:val="24"/>
          <w:szCs w:val="15"/>
        </w:rPr>
        <w:t xml:space="preserve">Mediante la Resolución de Gerencia de Aportes y Patrimonio Inmobiliario N.° 339-2017, de fecha nueve de noviembre de dos mil diecisiete, se declaró infundado el recurso de reconsideración. </w:t>
      </w:r>
      <w:r w:rsidRPr="002D6782">
        <w:rPr>
          <w:rFonts w:cs="Arial"/>
          <w:b/>
          <w:bCs/>
          <w:sz w:val="24"/>
          <w:szCs w:val="15"/>
        </w:rPr>
        <w:t xml:space="preserve">- </w:t>
      </w:r>
      <w:r w:rsidRPr="002D6782">
        <w:rPr>
          <w:rFonts w:cs="Arial"/>
          <w:sz w:val="24"/>
          <w:szCs w:val="15"/>
        </w:rPr>
        <w:t xml:space="preserve">Asimismo, por Resolución de Secretaria General N.° 085-2018, de fecha veintiuno de marzo de dos mil dieciocho, se declaró infundado el recurso de apelación. del artículo 96 y siguientes del Decreto Supremo N.° 154-2001-EF. </w:t>
      </w:r>
      <w:r w:rsidRPr="002D6782">
        <w:rPr>
          <w:rFonts w:cs="Arial"/>
          <w:b/>
          <w:bCs/>
          <w:sz w:val="24"/>
          <w:szCs w:val="15"/>
          <w:u w:val="single"/>
        </w:rPr>
        <w:t>Tercero</w:t>
      </w:r>
      <w:r w:rsidRPr="002D6782">
        <w:rPr>
          <w:rFonts w:cs="Arial"/>
          <w:b/>
          <w:bCs/>
          <w:sz w:val="24"/>
          <w:szCs w:val="15"/>
        </w:rPr>
        <w:t xml:space="preserve">: Cuestión en debate. </w:t>
      </w:r>
      <w:r w:rsidRPr="002D6782">
        <w:rPr>
          <w:rFonts w:cs="Arial"/>
          <w:sz w:val="24"/>
          <w:szCs w:val="15"/>
        </w:rPr>
        <w:t>De acuerdo con la infracción normativa material declarado procedente del recurso de casación, la cuestión controvertida en el presente caso consiste en determinar si corresponde el pago por el aporte obligatorio de SERPAR de 8,315.00 m</w:t>
      </w:r>
      <w:r w:rsidRPr="002D6782">
        <w:rPr>
          <w:rFonts w:cs="Arial"/>
          <w:sz w:val="24"/>
          <w:szCs w:val="9"/>
        </w:rPr>
        <w:t>2</w:t>
      </w:r>
      <w:r w:rsidRPr="002D6782">
        <w:rPr>
          <w:rFonts w:cs="Arial"/>
          <w:sz w:val="24"/>
          <w:szCs w:val="15"/>
        </w:rPr>
        <w:t xml:space="preserve">, o se encuentra exonerado de ello, y si se habría infraccionado el artículo 3° de la Ley N.° 29090, y el artículo 3° de la Norma Técnica TH.40 del RNE. Asimismo, en el presente caso, el recurso de casación materia de análisis ha sido declarado procedente en mérito a la infracción normativa que tiene carácter procesal invocada; por lo tanto, corresponde dilucidar en primer término aquella causal declarada procedente por vicios de índole procesal, dado que, en caso la misma sea amparada, acarrearían la nulidad de la resolución judicial impugnada e impediría, consecuentemente, la emisión de un pronunciamiento de las causales materiales formuladas por la empresa demandante. </w:t>
      </w:r>
      <w:r w:rsidRPr="002D6782">
        <w:rPr>
          <w:rFonts w:cs="Arial"/>
          <w:b/>
          <w:bCs/>
          <w:sz w:val="24"/>
          <w:szCs w:val="15"/>
          <w:u w:val="single"/>
        </w:rPr>
        <w:t>Cuarto</w:t>
      </w:r>
      <w:r w:rsidRPr="002D6782">
        <w:rPr>
          <w:rFonts w:cs="Arial"/>
          <w:b/>
          <w:bCs/>
          <w:sz w:val="24"/>
          <w:szCs w:val="15"/>
        </w:rPr>
        <w:t xml:space="preserve">: Sobre la vulneración de los artículos 83 y 87 del Código Procesal Civil. - </w:t>
      </w:r>
      <w:r w:rsidRPr="002D6782">
        <w:rPr>
          <w:rFonts w:cs="Arial"/>
          <w:b/>
          <w:bCs/>
          <w:sz w:val="24"/>
          <w:szCs w:val="15"/>
        </w:rPr>
        <w:lastRenderedPageBreak/>
        <w:t xml:space="preserve">Acumulación de pretensiones. </w:t>
      </w:r>
      <w:r w:rsidRPr="002D6782">
        <w:rPr>
          <w:rFonts w:cs="Arial"/>
          <w:sz w:val="24"/>
          <w:szCs w:val="15"/>
        </w:rPr>
        <w:t>La acumulación de procesos se justifica por la reducción de tiempo, esfuerzo y costos, que serían mayores si se tramitaran por separado. Además, se busca evitar pronunciamientos contradictorios al tratar pretensiones conexas en procesos distintos, en ese sentido, los artículos 83 y 87 del Código Procesal Civil, establecen: “</w:t>
      </w:r>
      <w:r w:rsidRPr="002D6782">
        <w:rPr>
          <w:rFonts w:cs="Arial"/>
          <w:b/>
          <w:bCs/>
          <w:i/>
          <w:iCs/>
          <w:sz w:val="24"/>
          <w:szCs w:val="15"/>
        </w:rPr>
        <w:t xml:space="preserve">Artículo 83.- </w:t>
      </w:r>
      <w:r w:rsidRPr="002D6782">
        <w:rPr>
          <w:rFonts w:cs="Arial"/>
          <w:i/>
          <w:iCs/>
          <w:sz w:val="24"/>
          <w:szCs w:val="15"/>
        </w:rPr>
        <w:t>En un proceso pueden haber más de una pretensión, o más de dos personas. La primera es una acumulación objetiva y la segunda una acumulación subjetiva. La acumulación objetiva y la subjetiva pueden ser originarias o sucesivas, según se propongan en la demanda o después de iniciado el proceso, respectivamente”. “</w:t>
      </w:r>
      <w:r w:rsidRPr="002D6782">
        <w:rPr>
          <w:rFonts w:cs="Arial"/>
          <w:b/>
          <w:bCs/>
          <w:i/>
          <w:iCs/>
          <w:sz w:val="24"/>
          <w:szCs w:val="15"/>
        </w:rPr>
        <w:t xml:space="preserve">Artículo 87.- Acumulación objetiva originaria. </w:t>
      </w:r>
      <w:r w:rsidRPr="002D6782">
        <w:rPr>
          <w:rFonts w:cs="Arial"/>
          <w:i/>
          <w:iCs/>
          <w:sz w:val="24"/>
          <w:szCs w:val="15"/>
        </w:rPr>
        <w:t xml:space="preserve">La acumulación objetiva originaria puede ser subordinada, alternativa o accesoria. Es subordinada cuando la pretensión queda sujeta a la eventualidad de que la propuesta como principal sea desestimada; es alternativa cuando el demandado elige cuál de las pretensiones va a cumplir; y es accesoria cuando habiendo varias pretensiones, al declararse fundada la principal, se amparan también las demás. Si el demandado no elige la pretensión alternativa a ejecutarse, lo hará el demandante. Si no se demandan pretensiones accesorias, sólo pueden acumularse éstas hasta antes del saneamiento procesal. Cuando la accesoriedad está expresamente prevista por la ley, se consideran tácitamente integradas a la demanda”. </w:t>
      </w:r>
      <w:r w:rsidRPr="002D6782">
        <w:rPr>
          <w:rFonts w:cs="Arial"/>
          <w:sz w:val="24"/>
          <w:szCs w:val="15"/>
        </w:rPr>
        <w:t>Al respecto, Ledesma Narvaes en relación a la acumulación de pretensiones señala lo siguiente: “</w:t>
      </w:r>
      <w:r w:rsidRPr="002D6782">
        <w:rPr>
          <w:rFonts w:cs="Arial"/>
          <w:i/>
          <w:iCs/>
          <w:sz w:val="24"/>
          <w:szCs w:val="15"/>
        </w:rPr>
        <w:t>Qué sentido tendría tener tres petitorios para reclamar en tres procesos distintos, como mayor tiempo, esfuerzo y dinero; pero además, fundamentalmente como ya se ha señalado</w:t>
      </w:r>
      <w:r w:rsidR="003B3398">
        <w:rPr>
          <w:rFonts w:cs="Arial"/>
          <w:i/>
          <w:iCs/>
          <w:sz w:val="24"/>
          <w:szCs w:val="15"/>
        </w:rPr>
        <w:t>-</w:t>
      </w:r>
      <w:r w:rsidRPr="002D6782">
        <w:rPr>
          <w:rFonts w:cs="Arial"/>
          <w:i/>
          <w:iCs/>
          <w:sz w:val="24"/>
          <w:szCs w:val="15"/>
        </w:rPr>
        <w:t>sirve para evitar fallos contradictorios. Podría darse el caso que se tramiten dos procesos distintos y en ellos se resuelva distinto, por citar, frente a dos deudores solidarios, en un proceso se condena al pago y en el otro se declara extinguida la obligación</w:t>
      </w:r>
      <w:r w:rsidRPr="002D6782">
        <w:rPr>
          <w:rFonts w:cs="Arial"/>
          <w:i/>
          <w:iCs/>
          <w:sz w:val="24"/>
          <w:szCs w:val="9"/>
          <w:vertAlign w:val="superscript"/>
        </w:rPr>
        <w:t>3</w:t>
      </w:r>
      <w:r w:rsidRPr="002D6782">
        <w:rPr>
          <w:rFonts w:cs="Arial"/>
          <w:sz w:val="24"/>
          <w:szCs w:val="15"/>
        </w:rPr>
        <w:t xml:space="preserve">”. </w:t>
      </w:r>
      <w:r w:rsidRPr="002D6782">
        <w:rPr>
          <w:rFonts w:cs="Arial"/>
          <w:b/>
          <w:bCs/>
          <w:sz w:val="24"/>
          <w:szCs w:val="15"/>
        </w:rPr>
        <w:t xml:space="preserve">- Análisis de la causal casatoria. 4.1 </w:t>
      </w:r>
      <w:r w:rsidRPr="002D6782">
        <w:rPr>
          <w:rFonts w:cs="Arial"/>
          <w:sz w:val="24"/>
          <w:szCs w:val="15"/>
        </w:rPr>
        <w:t xml:space="preserve">En el presente caso, la empresa recurrente alega que, la sentencia de vista incurre en infracción normativa denunciada, toda vez que, la Sala Superior consideró infundada su pretensión principal, y que por ello se debió reenviar los actuados al juzgado de origen para que se emita pronunciamiento respecto a las pretensiones subordinadas; sin embargo, se omitió actuar de tal manera. </w:t>
      </w:r>
      <w:r w:rsidRPr="002D6782">
        <w:rPr>
          <w:rFonts w:cs="Arial"/>
          <w:b/>
          <w:bCs/>
          <w:sz w:val="24"/>
          <w:szCs w:val="15"/>
        </w:rPr>
        <w:t xml:space="preserve">4.2 </w:t>
      </w:r>
      <w:r w:rsidRPr="002D6782">
        <w:rPr>
          <w:rFonts w:cs="Arial"/>
          <w:sz w:val="24"/>
          <w:szCs w:val="15"/>
        </w:rPr>
        <w:t>Que, conforme a lo expuesto en la parte expositiva de la sentencia de vista impugnada, la parte demandante solicitó: “</w:t>
      </w:r>
      <w:r w:rsidRPr="002D6782">
        <w:rPr>
          <w:rFonts w:cs="Arial"/>
          <w:b/>
          <w:bCs/>
          <w:i/>
          <w:iCs/>
          <w:sz w:val="24"/>
          <w:szCs w:val="15"/>
        </w:rPr>
        <w:t>Pretensión principal</w:t>
      </w:r>
      <w:r w:rsidRPr="002D6782">
        <w:rPr>
          <w:rFonts w:cs="Arial"/>
          <w:i/>
          <w:iCs/>
          <w:sz w:val="24"/>
          <w:szCs w:val="15"/>
        </w:rPr>
        <w:t xml:space="preserve">. – Se declare la nulidad de la Resolución de Secretaría General Número 085-2018 de fecha veintiuno de marzo de dos mil dieciocho. </w:t>
      </w:r>
      <w:r w:rsidRPr="002D6782">
        <w:rPr>
          <w:rFonts w:cs="Arial"/>
          <w:b/>
          <w:bCs/>
          <w:i/>
          <w:iCs/>
          <w:sz w:val="24"/>
          <w:szCs w:val="15"/>
        </w:rPr>
        <w:t xml:space="preserve">Primera pretensión subordinada a la principal </w:t>
      </w:r>
      <w:r w:rsidRPr="002D6782">
        <w:rPr>
          <w:rFonts w:cs="Arial"/>
          <w:i/>
          <w:iCs/>
          <w:sz w:val="24"/>
          <w:szCs w:val="15"/>
        </w:rPr>
        <w:t xml:space="preserve">(Plena jurisdicción).- Se revoque la citada Resolución, por cuanto considera que TELEFÓNICA </w:t>
      </w:r>
      <w:r w:rsidRPr="002D6782">
        <w:rPr>
          <w:rFonts w:cs="Arial"/>
          <w:i/>
          <w:iCs/>
          <w:sz w:val="24"/>
          <w:szCs w:val="15"/>
          <w:u w:val="single"/>
        </w:rPr>
        <w:t>no se encuentra obligada a efectuar aporte de habilitación alguno</w:t>
      </w:r>
      <w:r w:rsidRPr="002D6782">
        <w:rPr>
          <w:rFonts w:cs="Arial"/>
          <w:i/>
          <w:iCs/>
          <w:sz w:val="24"/>
          <w:szCs w:val="15"/>
        </w:rPr>
        <w:t xml:space="preserve">. </w:t>
      </w:r>
      <w:r w:rsidRPr="002D6782">
        <w:rPr>
          <w:rFonts w:cs="Arial"/>
          <w:b/>
          <w:bCs/>
          <w:i/>
          <w:iCs/>
          <w:sz w:val="24"/>
          <w:szCs w:val="15"/>
        </w:rPr>
        <w:t xml:space="preserve">Pretensión subordinada común.- </w:t>
      </w:r>
      <w:r w:rsidRPr="002D6782">
        <w:rPr>
          <w:rFonts w:cs="Arial"/>
          <w:i/>
          <w:iCs/>
          <w:sz w:val="24"/>
          <w:szCs w:val="15"/>
        </w:rPr>
        <w:t xml:space="preserve">Se revoque la citada Resolución, porque considera que la Administración incurrió en error al no haber aplicado/interpretado correctamente el artículo 9° de la Ordenanza N.° 836 expedida por la Municipalidad de Lima que establece que, en los casos en donde el inmueble se utiliza para fines recreacionales, </w:t>
      </w:r>
      <w:r w:rsidRPr="002D6782">
        <w:rPr>
          <w:rFonts w:cs="Arial"/>
          <w:i/>
          <w:iCs/>
          <w:sz w:val="24"/>
          <w:szCs w:val="15"/>
          <w:u w:val="single"/>
        </w:rPr>
        <w:t>no corresponde el pago de “aporte de habilitación urbana</w:t>
      </w:r>
      <w:r w:rsidRPr="002D6782">
        <w:rPr>
          <w:rFonts w:cs="Arial"/>
          <w:i/>
          <w:iCs/>
          <w:sz w:val="24"/>
          <w:szCs w:val="15"/>
        </w:rPr>
        <w:t xml:space="preserve">” </w:t>
      </w:r>
      <w:r w:rsidRPr="002D6782">
        <w:rPr>
          <w:rFonts w:cs="Arial"/>
          <w:sz w:val="24"/>
          <w:szCs w:val="15"/>
        </w:rPr>
        <w:t>(Subrayado)</w:t>
      </w:r>
      <w:r w:rsidRPr="002D6782">
        <w:rPr>
          <w:rFonts w:cs="Arial"/>
          <w:i/>
          <w:iCs/>
          <w:sz w:val="24"/>
          <w:szCs w:val="15"/>
        </w:rPr>
        <w:t xml:space="preserve">. </w:t>
      </w:r>
      <w:r w:rsidRPr="002D6782">
        <w:rPr>
          <w:rFonts w:cs="Arial"/>
          <w:b/>
          <w:bCs/>
          <w:sz w:val="24"/>
          <w:szCs w:val="15"/>
        </w:rPr>
        <w:t xml:space="preserve">4.3 </w:t>
      </w:r>
      <w:r w:rsidRPr="002D6782">
        <w:rPr>
          <w:rFonts w:cs="Arial"/>
          <w:sz w:val="24"/>
          <w:szCs w:val="15"/>
        </w:rPr>
        <w:t>Asimismo, se fijó como punto controvertido, consistente en: “</w:t>
      </w:r>
      <w:r w:rsidRPr="002D6782">
        <w:rPr>
          <w:rFonts w:cs="Arial"/>
          <w:i/>
          <w:iCs/>
          <w:sz w:val="24"/>
          <w:szCs w:val="15"/>
        </w:rPr>
        <w:t xml:space="preserve">Determinar cómo pretensión principal si corresponde declarar la Nulidad de la Resolución de Secretaria General N.° 085-2018 emitida por SERPAR de fecha 21 de marzo de 2018 mediante la cual declara infundada el Recurso de apelación contra la Resolución de Gerencia Aportes y Patrimonio Inmobiliario N.° 339-2017; y como pretensión subordinada </w:t>
      </w:r>
      <w:r w:rsidRPr="002D6782">
        <w:rPr>
          <w:rFonts w:cs="Arial"/>
          <w:i/>
          <w:iCs/>
          <w:sz w:val="24"/>
          <w:szCs w:val="15"/>
        </w:rPr>
        <w:lastRenderedPageBreak/>
        <w:t>determinar si corresponde Revocar la Nulidad de la Resolución de Secretaría General N.° 085-2018 emitida por SERPAR mediante la cual se condena a Telefónica al pago del aporte de Habilitación Urbana por el valor de S/ 2´121,572.25</w:t>
      </w:r>
      <w:r w:rsidRPr="002D6782">
        <w:rPr>
          <w:rFonts w:cs="Arial"/>
          <w:sz w:val="24"/>
          <w:szCs w:val="15"/>
        </w:rPr>
        <w:t xml:space="preserve">”. </w:t>
      </w:r>
      <w:r w:rsidRPr="002D6782">
        <w:rPr>
          <w:rFonts w:cs="Arial"/>
          <w:b/>
          <w:bCs/>
          <w:sz w:val="24"/>
          <w:szCs w:val="15"/>
        </w:rPr>
        <w:t xml:space="preserve">4.4 </w:t>
      </w:r>
      <w:r w:rsidRPr="002D6782">
        <w:rPr>
          <w:rFonts w:cs="Arial"/>
          <w:sz w:val="24"/>
          <w:szCs w:val="15"/>
        </w:rPr>
        <w:t xml:space="preserve">Acorde a lo expuesto, se puede advertir que, en las pretensiones, tanto principal, subordinada y común la parte demandante argumenta que, </w:t>
      </w:r>
      <w:r w:rsidRPr="002D6782">
        <w:rPr>
          <w:rFonts w:cs="Arial"/>
          <w:b/>
          <w:bCs/>
          <w:sz w:val="24"/>
          <w:szCs w:val="15"/>
        </w:rPr>
        <w:t>no le corresponde realizar el pago dinerario correspondiente al aporte obligatorio de habilitación urbana a SERPAR</w:t>
      </w:r>
      <w:r w:rsidRPr="002D6782">
        <w:rPr>
          <w:rFonts w:cs="Arial"/>
          <w:sz w:val="24"/>
          <w:szCs w:val="15"/>
        </w:rPr>
        <w:t xml:space="preserve">, controversia que, de la lectura de la sentencia de vista el Colegiado Superior si ha dilucidado, señalando lo siguiente: “16. </w:t>
      </w:r>
      <w:r w:rsidRPr="002D6782">
        <w:rPr>
          <w:rFonts w:cs="Arial"/>
          <w:i/>
          <w:iCs/>
          <w:sz w:val="24"/>
          <w:szCs w:val="15"/>
        </w:rPr>
        <w:t>En el caso que nos ocupa, es un hecho acreditado y no discutido que el proceso de Habilitación Urbana Ejecutada con Obras Parciales, ubicado en Av.2, esquina Calle A, parte de la Parcela A-2, U.C 10421, distrito de Lurín, provincia y departamento de Lima, tiene como Zonificación Otros Usos o Usos especiales, entendiéndose como indicador (OU), habilitación que no se encuentra exceptuado de los aportes reglamentarios para parques zonales, pues, si bien se encuentra destinado a fines recreacionales, no está destinado al uso público o que resulte de dominio público, en tanto no permita satisfacer las necesidades de recreación, áreas verdes, juegos, etc. a que aspiran los ciudadanos sin restricción alguna. 17. Consecuentemente, la Demandante no se encontraba exceptuada de pagar los aportes como se ha sostenido en la sentencia impugnada, en la que se ha precisado que era aplicable al caso el Reglamento Nacional de Edificaciones, que como se ha expuesto en los fundamentos que anteceden, era una norma que había quedado derogada a la entrada en vigencia de la Ley de Habilitaciones Urbanas, no solamente porque la norma posterior deroga la norma anterior, también la norma aplicada por el juez de primera instancia era una norma de inferior jerarquía a las normas contenidas en la Ley de habilitaciones Urbanas y la Ordenanza Municipal, que regula la exigencia de todas las habilitaciones a pagar los aportes reglamentarios, con la precisión expresa de las excepciones en la que no se encuentra comprendido el presente caso</w:t>
      </w:r>
      <w:r w:rsidRPr="002D6782">
        <w:rPr>
          <w:rFonts w:cs="Arial"/>
          <w:sz w:val="24"/>
          <w:szCs w:val="15"/>
        </w:rPr>
        <w:t xml:space="preserve">.” </w:t>
      </w:r>
      <w:r w:rsidRPr="002D6782">
        <w:rPr>
          <w:rFonts w:cs="Arial"/>
          <w:b/>
          <w:bCs/>
          <w:sz w:val="24"/>
          <w:szCs w:val="15"/>
        </w:rPr>
        <w:t xml:space="preserve">4.5 </w:t>
      </w:r>
      <w:r w:rsidRPr="002D6782">
        <w:rPr>
          <w:rFonts w:cs="Arial"/>
          <w:sz w:val="24"/>
          <w:szCs w:val="15"/>
        </w:rPr>
        <w:t xml:space="preserve">En consecuencia, la Sala Superior, ha concluido que contrariamente a lo argumentado por la demandante, no se encontraba exceptuada de pagar los aportes obligatorios de habilitación urbana a SERPAR, de tal manera que el pronunciamiento efectuado en realidad absuelve tanto la pretensión principal, como subordinada a la principal y subordinada común, formuladas; por tanto, no se observa entonces que se hubiera incurrido en la causal casatoria procesal denunciada. </w:t>
      </w:r>
      <w:r w:rsidRPr="002D6782">
        <w:rPr>
          <w:rFonts w:cs="Arial"/>
          <w:b/>
          <w:bCs/>
          <w:sz w:val="24"/>
          <w:szCs w:val="15"/>
        </w:rPr>
        <w:t xml:space="preserve">4.6 </w:t>
      </w:r>
      <w:r w:rsidRPr="002D6782">
        <w:rPr>
          <w:rFonts w:cs="Arial"/>
          <w:sz w:val="24"/>
          <w:szCs w:val="15"/>
        </w:rPr>
        <w:t xml:space="preserve">Es menester acotar, que lo glosado no es equivalente a que este Supremo Tribunal concuerde con la totalidad de los fundamentos del fallo recurrido, desde que no cabe confundir la debida motivación de las resoluciones judiciales con la debida aplicación del derecho objetivo. En el primer supuesto, se examinan los criterios lógicos y argumentativos referidos a la decisión de validez, la decisión de interpretación, la decisión de evidencia, la decisión de subsunción y la decisión de consecuencias; en tanto que en el segundo supuesto, debe determinarse si la norma jurídica utilizada ha sido aplicada de manera debida. </w:t>
      </w:r>
      <w:r w:rsidRPr="002D6782">
        <w:rPr>
          <w:rFonts w:cs="Arial"/>
          <w:sz w:val="24"/>
          <w:szCs w:val="15"/>
          <w:u w:val="single"/>
        </w:rPr>
        <w:t>Quinto</w:t>
      </w:r>
      <w:r w:rsidRPr="002D6782">
        <w:rPr>
          <w:rFonts w:cs="Arial"/>
          <w:sz w:val="24"/>
          <w:szCs w:val="15"/>
        </w:rPr>
        <w:t xml:space="preserve">: Sobre la infracción normativa de interpretación incorrecta del artículo 3° de la Ley N.° 29090, y del artículo 3° de la Norma Técnica TH 40 del RNE. </w:t>
      </w:r>
      <w:r w:rsidRPr="002D6782">
        <w:rPr>
          <w:rFonts w:cs="Arial"/>
          <w:b/>
          <w:bCs/>
          <w:sz w:val="24"/>
          <w:szCs w:val="15"/>
        </w:rPr>
        <w:t xml:space="preserve">- Sobre la regulación urbanas y de edificaciones. </w:t>
      </w:r>
      <w:r w:rsidRPr="002D6782">
        <w:rPr>
          <w:rFonts w:cs="Arial"/>
          <w:sz w:val="24"/>
          <w:szCs w:val="15"/>
        </w:rPr>
        <w:t xml:space="preserve">La Ley N.° 29090, busca establecer un marco normativo claro para diversas actividades urbanísticas y de construcción, asegurando que estos procesos se realicen de acuerdo con la </w:t>
      </w:r>
      <w:r w:rsidRPr="002D6782">
        <w:rPr>
          <w:rFonts w:cs="Arial"/>
          <w:sz w:val="24"/>
          <w:szCs w:val="15"/>
        </w:rPr>
        <w:lastRenderedPageBreak/>
        <w:t>ley, con el fin de proteger tanto el bienestar de los ciudadanos como la seguridad jurídica en las relaciones privadas y públicas. La regulación de la independización de predios, subdivisión de lotes, y la emisión de licencias es fundamental para garantizar el orden en el desarrollo urbano. Además, la fiscalización y recepción de obras refuerzan el cumplimiento de los estándares de calidad y seguridad, fundamentales para el bienestar común. En ese sentido, el artículo 3° de la citada Ley, establece que: “</w:t>
      </w:r>
      <w:r w:rsidRPr="002D6782">
        <w:rPr>
          <w:rFonts w:cs="Arial"/>
          <w:b/>
          <w:bCs/>
          <w:i/>
          <w:iCs/>
          <w:sz w:val="24"/>
          <w:szCs w:val="15"/>
        </w:rPr>
        <w:t xml:space="preserve">Artículo 3°.- Definiciones. </w:t>
      </w:r>
      <w:r w:rsidRPr="002D6782">
        <w:rPr>
          <w:rFonts w:cs="Arial"/>
          <w:i/>
          <w:iCs/>
          <w:sz w:val="24"/>
          <w:szCs w:val="15"/>
        </w:rPr>
        <w:t xml:space="preserve">Para los fines de la presente Ley, entiéndese por: </w:t>
      </w:r>
      <w:r w:rsidRPr="002D6782">
        <w:rPr>
          <w:rFonts w:cs="Arial"/>
          <w:b/>
          <w:bCs/>
          <w:i/>
          <w:iCs/>
          <w:sz w:val="24"/>
          <w:szCs w:val="15"/>
        </w:rPr>
        <w:t xml:space="preserve">1. Habilitación urbana. </w:t>
      </w:r>
      <w:r w:rsidRPr="002D6782">
        <w:rPr>
          <w:rFonts w:cs="Arial"/>
          <w:i/>
          <w:iCs/>
          <w:sz w:val="24"/>
          <w:szCs w:val="15"/>
        </w:rPr>
        <w:t xml:space="preserve">El proceso de convertir un terreno rústico o eriazo en urbano, mediante la ejecución de obras de accesibilidad, de distribución de agua y recolección de desagüe, de distribución de energía e iluminación pública. Adicionalmente, el terreno puede contar con redes para la distribución de gas y redes de comunicaciones. Este proceso requiere de aportes gratuitos y obligatorios para fines de recreación pública, que son áreas de uso público irrestricto; así como para servicios públicos complementarios, para educación, salud y otros fines, en lotes regulares edificables que constituyen bienes de dominio público del Estado, susceptibles de inscripción en el Registro de Predios de la Superintendencia Nacional de los Registros Públicos. El reglamento establece la extensión mínima de la habilitación en la que aplica el aporte para salud, así como el porcentaje respectivo </w:t>
      </w:r>
      <w:r w:rsidRPr="002D6782">
        <w:rPr>
          <w:rFonts w:cs="Arial"/>
          <w:b/>
          <w:bCs/>
          <w:i/>
          <w:iCs/>
          <w:sz w:val="24"/>
          <w:szCs w:val="15"/>
        </w:rPr>
        <w:t>Están exonerados de realizar aportes reglamentarios los proyectos de inversión pública, de asociación público privada o de concesión que se realicen para la prestación de servicios públicos esenciales o para la ejecución de infraestructura pública</w:t>
      </w:r>
      <w:r w:rsidRPr="002D6782">
        <w:rPr>
          <w:rFonts w:cs="Arial"/>
          <w:i/>
          <w:iCs/>
          <w:sz w:val="24"/>
          <w:szCs w:val="15"/>
        </w:rPr>
        <w:t xml:space="preserve">. (...)”. </w:t>
      </w:r>
      <w:r w:rsidRPr="002D6782">
        <w:rPr>
          <w:rFonts w:cs="Arial"/>
          <w:sz w:val="24"/>
          <w:szCs w:val="15"/>
        </w:rPr>
        <w:t>En concordancia con la citada disposición normativa, la Norma TH 0.40 del Reglamento Nacional de Edificaciones, regula las habilitaciones para usos especiales. En ese sentido, resulta necesario definir qué es una habilitación para usos especiales, la cual de acuerdo con los establecido por el artículo 1° de la citada norma reglamentaria, consiste en: “</w:t>
      </w:r>
      <w:r w:rsidRPr="002D6782">
        <w:rPr>
          <w:rFonts w:cs="Arial"/>
          <w:b/>
          <w:bCs/>
          <w:i/>
          <w:iCs/>
          <w:sz w:val="24"/>
          <w:szCs w:val="15"/>
        </w:rPr>
        <w:t xml:space="preserve">Artículo 1°.- </w:t>
      </w:r>
      <w:r w:rsidRPr="002D6782">
        <w:rPr>
          <w:rFonts w:cs="Arial"/>
          <w:i/>
          <w:iCs/>
          <w:sz w:val="24"/>
          <w:szCs w:val="15"/>
        </w:rPr>
        <w:t xml:space="preserve">Constituye habilitación para Usos Especiales aquellos procesos de habilitación </w:t>
      </w:r>
      <w:r w:rsidRPr="002D6782">
        <w:rPr>
          <w:rFonts w:cs="Arial"/>
          <w:b/>
          <w:bCs/>
          <w:i/>
          <w:iCs/>
          <w:sz w:val="24"/>
          <w:szCs w:val="15"/>
        </w:rPr>
        <w:t>urbana que están destinados a la edificación de locales educativo, religiosos, de salud, institucionales, deportivos, recreacionales y campos feriales</w:t>
      </w:r>
      <w:r w:rsidRPr="002D6782">
        <w:rPr>
          <w:rFonts w:cs="Arial"/>
          <w:sz w:val="24"/>
          <w:szCs w:val="15"/>
        </w:rPr>
        <w:t>” Asimismo, la citada norma técnica establece en su artículo 3°, lo siguiente: “</w:t>
      </w:r>
      <w:r w:rsidRPr="002D6782">
        <w:rPr>
          <w:rFonts w:cs="Arial"/>
          <w:b/>
          <w:bCs/>
          <w:i/>
          <w:iCs/>
          <w:sz w:val="24"/>
          <w:szCs w:val="15"/>
        </w:rPr>
        <w:t xml:space="preserve">Artículo 3°.- </w:t>
      </w:r>
      <w:r w:rsidRPr="002D6782">
        <w:rPr>
          <w:rFonts w:cs="Arial"/>
          <w:i/>
          <w:iCs/>
          <w:sz w:val="24"/>
          <w:szCs w:val="15"/>
        </w:rPr>
        <w:t>Las habilitaciones para</w:t>
      </w:r>
      <w:r w:rsidR="0094625A" w:rsidRPr="002D6782">
        <w:rPr>
          <w:rFonts w:cs="Arial"/>
          <w:i/>
          <w:iCs/>
          <w:sz w:val="24"/>
          <w:szCs w:val="15"/>
        </w:rPr>
        <w:t xml:space="preserve"> usos especiales no están obligados a entregar aportes de habilitación urbana, puesto que por sus característicos constituyen parte del equipamiento ur</w:t>
      </w:r>
      <w:r w:rsidRPr="002D6782">
        <w:rPr>
          <w:rFonts w:cs="Arial"/>
          <w:i/>
          <w:iCs/>
          <w:sz w:val="24"/>
          <w:szCs w:val="15"/>
        </w:rPr>
        <w:t>bano de la ciudad</w:t>
      </w:r>
      <w:r w:rsidRPr="002D6782">
        <w:rPr>
          <w:rFonts w:cs="Arial"/>
          <w:sz w:val="24"/>
          <w:szCs w:val="15"/>
        </w:rPr>
        <w:t xml:space="preserve">”. </w:t>
      </w:r>
      <w:r w:rsidRPr="002D6782">
        <w:rPr>
          <w:rFonts w:cs="Arial"/>
          <w:b/>
          <w:bCs/>
          <w:sz w:val="24"/>
          <w:szCs w:val="15"/>
        </w:rPr>
        <w:t xml:space="preserve">- Análisis de la causal casatoria. 5.1 </w:t>
      </w:r>
      <w:r w:rsidRPr="002D6782">
        <w:rPr>
          <w:rFonts w:cs="Arial"/>
          <w:sz w:val="24"/>
          <w:szCs w:val="15"/>
        </w:rPr>
        <w:t xml:space="preserve">En el presente caso, la recurrente alega </w:t>
      </w:r>
      <w:r w:rsidRPr="002D6782">
        <w:rPr>
          <w:rFonts w:cs="Arial"/>
          <w:sz w:val="24"/>
          <w:szCs w:val="15"/>
          <w:u w:val="single"/>
        </w:rPr>
        <w:t>primero</w:t>
      </w:r>
      <w:r w:rsidRPr="002D6782">
        <w:rPr>
          <w:rFonts w:cs="Arial"/>
          <w:sz w:val="24"/>
          <w:szCs w:val="15"/>
        </w:rPr>
        <w:t xml:space="preserve"> que, la sentencia de vista incorporó un aspecto que no formó parte del contradictorio del proceso, al sostener que el artículo 3° de la Ley N.° 29090 hubiera derogado lo establecido en el artículo 3° de la Norma TH 0.40 del Reglamento Nacional de Edificaciones, y que dicha interpretación no resulta correcta; </w:t>
      </w:r>
      <w:r w:rsidRPr="002D6782">
        <w:rPr>
          <w:rFonts w:cs="Arial"/>
          <w:sz w:val="24"/>
          <w:szCs w:val="15"/>
          <w:u w:val="single"/>
        </w:rPr>
        <w:t>segundo</w:t>
      </w:r>
      <w:r w:rsidRPr="002D6782">
        <w:rPr>
          <w:rFonts w:cs="Arial"/>
          <w:sz w:val="24"/>
          <w:szCs w:val="15"/>
        </w:rPr>
        <w:t xml:space="preserve">, se sostiene que, como consecuencia de la interpretación correcta de las normas denunciadas no existe obligación que efectué aportes a </w:t>
      </w:r>
      <w:r w:rsidR="0094625A" w:rsidRPr="002D6782">
        <w:rPr>
          <w:rFonts w:cs="Arial"/>
          <w:sz w:val="24"/>
          <w:szCs w:val="15"/>
        </w:rPr>
        <w:t>Serpar</w:t>
      </w:r>
      <w:r w:rsidRPr="002D6782">
        <w:rPr>
          <w:rFonts w:cs="Arial"/>
          <w:sz w:val="24"/>
          <w:szCs w:val="15"/>
        </w:rPr>
        <w:t xml:space="preserve">. </w:t>
      </w:r>
      <w:r w:rsidRPr="002D6782">
        <w:rPr>
          <w:rFonts w:cs="Arial"/>
          <w:b/>
          <w:bCs/>
          <w:sz w:val="24"/>
          <w:szCs w:val="15"/>
        </w:rPr>
        <w:t xml:space="preserve">5.2 </w:t>
      </w:r>
      <w:r w:rsidRPr="002D6782">
        <w:rPr>
          <w:rFonts w:cs="Arial"/>
          <w:sz w:val="24"/>
          <w:szCs w:val="15"/>
        </w:rPr>
        <w:t xml:space="preserve">Cabe indicar que, en el artículo 3° de la Ley N.° 29090 a diferencia de lo afirmado en la sentencia de vista, si se prevé la exoneración de aportes reglamentarios, cuando se trata de proyectos de inversión pública, de asociaciones públicas o privadas o de concesión, para la </w:t>
      </w:r>
      <w:r w:rsidRPr="002D6782">
        <w:rPr>
          <w:rFonts w:cs="Arial"/>
          <w:b/>
          <w:bCs/>
          <w:sz w:val="24"/>
          <w:szCs w:val="15"/>
        </w:rPr>
        <w:t xml:space="preserve">prestación de servicios públicos </w:t>
      </w:r>
      <w:r w:rsidRPr="002D6782">
        <w:rPr>
          <w:rFonts w:cs="Arial"/>
          <w:sz w:val="24"/>
          <w:szCs w:val="15"/>
        </w:rPr>
        <w:t xml:space="preserve">o ejecución de infraestructura pública. </w:t>
      </w:r>
      <w:r w:rsidRPr="002D6782">
        <w:rPr>
          <w:rFonts w:cs="Arial"/>
          <w:b/>
          <w:bCs/>
          <w:sz w:val="24"/>
          <w:szCs w:val="15"/>
        </w:rPr>
        <w:t xml:space="preserve">5.3 </w:t>
      </w:r>
      <w:r w:rsidRPr="002D6782">
        <w:rPr>
          <w:rFonts w:cs="Arial"/>
          <w:sz w:val="24"/>
          <w:szCs w:val="15"/>
        </w:rPr>
        <w:t xml:space="preserve">Acorde a ello, la Norma TH 0.40 del Reglamento Nacional de Edificaciones, en sus artículos 1° y 3°, también establece dicha exoneración cuando el proceso de habilitación </w:t>
      </w:r>
      <w:r w:rsidRPr="002D6782">
        <w:rPr>
          <w:rFonts w:cs="Arial"/>
          <w:sz w:val="24"/>
          <w:szCs w:val="15"/>
        </w:rPr>
        <w:lastRenderedPageBreak/>
        <w:t xml:space="preserve">urbana que están </w:t>
      </w:r>
      <w:r w:rsidRPr="002D6782">
        <w:rPr>
          <w:rFonts w:cs="Arial"/>
          <w:b/>
          <w:bCs/>
          <w:sz w:val="24"/>
          <w:szCs w:val="15"/>
        </w:rPr>
        <w:t>destinados a la edificación de locales educativo, religiosos, de salud, institucionales, deportivos, recreacionales y campos feriale</w:t>
      </w:r>
      <w:r w:rsidRPr="002D6782">
        <w:rPr>
          <w:rFonts w:cs="Arial"/>
          <w:sz w:val="24"/>
          <w:szCs w:val="15"/>
        </w:rPr>
        <w:t xml:space="preserve">s. </w:t>
      </w:r>
      <w:r w:rsidRPr="002D6782">
        <w:rPr>
          <w:rFonts w:cs="Arial"/>
          <w:b/>
          <w:bCs/>
          <w:sz w:val="24"/>
          <w:szCs w:val="15"/>
        </w:rPr>
        <w:t xml:space="preserve">5.4. </w:t>
      </w:r>
      <w:r w:rsidRPr="002D6782">
        <w:rPr>
          <w:rFonts w:cs="Arial"/>
          <w:sz w:val="24"/>
          <w:szCs w:val="15"/>
        </w:rPr>
        <w:t xml:space="preserve">Siendo ello así, realizando una interpretación conjunta y sistemática de las disposiciones normativas antes citadas, se concluye que no existe contradicción entre el artículo 3° de la Ley N.° 29090, y el artículo 3° de la Norma TH 0.40 del Reglamento Nacional de Edificaciones, por el contrario, la exoneración de aportes para las habilitaciones de usos especiales, se debe a que, ello constituye una prestación de carácter público al estar destinadas para edificaciones de locales educativos, religiosos, de salud, institucionales, deportivos, recreacionales y campos feriales. </w:t>
      </w:r>
      <w:r w:rsidRPr="002D6782">
        <w:rPr>
          <w:rFonts w:cs="Arial"/>
          <w:b/>
          <w:bCs/>
          <w:sz w:val="24"/>
          <w:szCs w:val="15"/>
        </w:rPr>
        <w:t xml:space="preserve">5.5 </w:t>
      </w:r>
      <w:r w:rsidRPr="002D6782">
        <w:rPr>
          <w:rFonts w:cs="Arial"/>
          <w:sz w:val="24"/>
          <w:szCs w:val="15"/>
        </w:rPr>
        <w:t xml:space="preserve">Por otro lado, la empresa recurrente argumenta que, como consecuencia de la interpretación correcta de las normas denunciadas, no tiene la obligación de realizar aportes obligatorios de la habilitación urbana, ante ello debemos precisar lo siguiente: </w:t>
      </w:r>
      <w:r w:rsidRPr="002D6782">
        <w:rPr>
          <w:rFonts w:cs="Arial"/>
          <w:b/>
          <w:bCs/>
          <w:sz w:val="24"/>
          <w:szCs w:val="15"/>
        </w:rPr>
        <w:t xml:space="preserve">- </w:t>
      </w:r>
      <w:r w:rsidRPr="002D6782">
        <w:rPr>
          <w:rFonts w:cs="Arial"/>
          <w:sz w:val="24"/>
          <w:szCs w:val="15"/>
        </w:rPr>
        <w:t xml:space="preserve">La Resolución de Licencia de Habilitación Urbana N.° 057-2016-SGLAUGDUGT/ ML, de fecha veinticinco de julio de dos mil dieciséis, emitida por la Municipalidad Distrital de Lurín, aprueba la Habilitación Urbana Ejecutada con Obras Parciales. Otros Usos (OU), ubicado en la Unidad Catastral 10421, Parcela A-2, distrito de Lurín, provincia y departamento de Lima, estableciéndose, entre otros, como área a favor de </w:t>
      </w:r>
      <w:r w:rsidR="0094625A" w:rsidRPr="002D6782">
        <w:rPr>
          <w:rFonts w:cs="Arial"/>
          <w:sz w:val="24"/>
          <w:szCs w:val="15"/>
        </w:rPr>
        <w:t xml:space="preserve">Serpar </w:t>
      </w:r>
      <w:r w:rsidRPr="002D6782">
        <w:rPr>
          <w:rFonts w:cs="Arial"/>
          <w:sz w:val="24"/>
          <w:szCs w:val="15"/>
        </w:rPr>
        <w:t>de 8,315.00 m</w:t>
      </w:r>
      <w:r w:rsidRPr="002D6782">
        <w:rPr>
          <w:rFonts w:cs="Arial"/>
          <w:sz w:val="24"/>
          <w:szCs w:val="9"/>
        </w:rPr>
        <w:t>2</w:t>
      </w:r>
      <w:r w:rsidRPr="002D6782">
        <w:rPr>
          <w:rFonts w:cs="Arial"/>
          <w:sz w:val="24"/>
          <w:szCs w:val="15"/>
        </w:rPr>
        <w:t xml:space="preserve">. </w:t>
      </w:r>
      <w:r w:rsidRPr="002D6782">
        <w:rPr>
          <w:rFonts w:cs="Arial"/>
          <w:b/>
          <w:bCs/>
          <w:sz w:val="24"/>
          <w:szCs w:val="15"/>
        </w:rPr>
        <w:t xml:space="preserve">- </w:t>
      </w:r>
      <w:r w:rsidRPr="002D6782">
        <w:rPr>
          <w:rFonts w:cs="Arial"/>
          <w:sz w:val="24"/>
          <w:szCs w:val="15"/>
        </w:rPr>
        <w:t xml:space="preserve">La citada resolución administrativa, que dispone un área a favor de la demandada </w:t>
      </w:r>
      <w:r w:rsidR="0094625A" w:rsidRPr="002D6782">
        <w:rPr>
          <w:rFonts w:cs="Arial"/>
          <w:sz w:val="24"/>
          <w:szCs w:val="15"/>
        </w:rPr>
        <w:t>Serpar</w:t>
      </w:r>
      <w:r w:rsidRPr="002D6782">
        <w:rPr>
          <w:rFonts w:cs="Arial"/>
          <w:sz w:val="24"/>
          <w:szCs w:val="15"/>
        </w:rPr>
        <w:t xml:space="preserve">, no ha sido cuestionada y tiene la calidad de firme, no siendo materia de controversia en el presente proceso. </w:t>
      </w:r>
      <w:r w:rsidRPr="002D6782">
        <w:rPr>
          <w:rFonts w:cs="Arial"/>
          <w:b/>
          <w:bCs/>
          <w:sz w:val="24"/>
          <w:szCs w:val="15"/>
        </w:rPr>
        <w:t xml:space="preserve">- </w:t>
      </w:r>
      <w:r w:rsidRPr="002D6782">
        <w:rPr>
          <w:rFonts w:cs="Arial"/>
          <w:sz w:val="24"/>
          <w:szCs w:val="15"/>
        </w:rPr>
        <w:t xml:space="preserve">Que, si bien la Resolución de Licencia de Habilitación Urbana N.° 057-2016-SGLAU-GDUGT/ML, hace referencia a otros usos (OU), en relación con la habilitación urbana, ello no significa que se tratan de una habilitación para usos especiales (OU). </w:t>
      </w:r>
      <w:r w:rsidRPr="002D6782">
        <w:rPr>
          <w:rFonts w:cs="Arial"/>
          <w:b/>
          <w:bCs/>
          <w:sz w:val="24"/>
          <w:szCs w:val="15"/>
        </w:rPr>
        <w:t xml:space="preserve">- </w:t>
      </w:r>
      <w:r w:rsidRPr="002D6782">
        <w:rPr>
          <w:rFonts w:cs="Arial"/>
          <w:sz w:val="24"/>
          <w:szCs w:val="15"/>
        </w:rPr>
        <w:t>Con fecha diez de octubre de dos mil dieciséis, la empresa Telefónica Sociedad Anónima Abierta solicitó a SERPAR la liquidación del valor monetario del aporte reglamentario, señalando que en Parcela A-2, de 166,300.00 m</w:t>
      </w:r>
      <w:r w:rsidRPr="002D6782">
        <w:rPr>
          <w:rFonts w:cs="Arial"/>
          <w:sz w:val="24"/>
          <w:szCs w:val="9"/>
        </w:rPr>
        <w:t xml:space="preserve">2 </w:t>
      </w:r>
      <w:r w:rsidRPr="002D6782">
        <w:rPr>
          <w:rFonts w:cs="Arial"/>
          <w:sz w:val="24"/>
          <w:szCs w:val="15"/>
        </w:rPr>
        <w:t>se desarrolla: “</w:t>
      </w:r>
      <w:r w:rsidRPr="002D6782">
        <w:rPr>
          <w:rFonts w:cs="Arial"/>
          <w:i/>
          <w:iCs/>
          <w:sz w:val="24"/>
          <w:szCs w:val="15"/>
        </w:rPr>
        <w:t>un centro de esparcimiento proyecto denominado Distrito Verde enfocado en brindar zonas de recreación de los trabajadores de todas las empresas del grupo Telefónica</w:t>
      </w:r>
      <w:r w:rsidRPr="002D6782">
        <w:rPr>
          <w:rFonts w:cs="Arial"/>
          <w:sz w:val="24"/>
          <w:szCs w:val="15"/>
        </w:rPr>
        <w:t xml:space="preserve">”. </w:t>
      </w:r>
      <w:r w:rsidRPr="002D6782">
        <w:rPr>
          <w:rFonts w:cs="Arial"/>
          <w:b/>
          <w:bCs/>
          <w:sz w:val="24"/>
          <w:szCs w:val="15"/>
        </w:rPr>
        <w:t xml:space="preserve">5.6 </w:t>
      </w:r>
      <w:r w:rsidRPr="002D6782">
        <w:rPr>
          <w:rFonts w:cs="Arial"/>
          <w:sz w:val="24"/>
          <w:szCs w:val="15"/>
        </w:rPr>
        <w:t xml:space="preserve">En ese sentido, no se advierte que la habilitación urbana aprobada por la Resolución de Licencia de Habilitación Urbana N.° 057-2016-SGLAU-GDUGT/ML sea una habilitación para usos especiales, destinada a la realización de prestaciones de servicios públicos esenciales o para la ejecución de infraestructura pública, y el hecho de que se hubieran empleado las iniciales (OU) otros usos, en la mencionada resolución administrativa no significa que se trate de una habilitación para usos especiales. Por el contrario, la solicitud de liquidación de aportes obligatorios presentada por la empresa Telefónica Sociedad Anónima Abierta denota que la habilitación fue solicitada para un proyecto privado destinado a sus trabajadores, razón por la cual no se encontraría en el supuesto de exoneración de aportes obligatorios a </w:t>
      </w:r>
      <w:r w:rsidR="0094625A" w:rsidRPr="002D6782">
        <w:rPr>
          <w:rFonts w:cs="Arial"/>
          <w:sz w:val="24"/>
          <w:szCs w:val="15"/>
        </w:rPr>
        <w:t>Serpar</w:t>
      </w:r>
      <w:r w:rsidRPr="002D6782">
        <w:rPr>
          <w:rFonts w:cs="Arial"/>
          <w:sz w:val="24"/>
          <w:szCs w:val="15"/>
        </w:rPr>
        <w:t>, coincidiendo con lo expuesto en la sentencia de vista impugnada, en el extremo que: “</w:t>
      </w:r>
      <w:r w:rsidRPr="002D6782">
        <w:rPr>
          <w:rFonts w:cs="Arial"/>
          <w:b/>
          <w:bCs/>
          <w:i/>
          <w:iCs/>
          <w:sz w:val="24"/>
          <w:szCs w:val="15"/>
        </w:rPr>
        <w:t>la Demandante no se encuentra exceptuada de pagar los aportes como se ha sostenido en la sentencia impugnada</w:t>
      </w:r>
      <w:r w:rsidRPr="002D6782">
        <w:rPr>
          <w:rFonts w:cs="Arial"/>
          <w:b/>
          <w:bCs/>
          <w:sz w:val="24"/>
          <w:szCs w:val="15"/>
        </w:rPr>
        <w:t>”</w:t>
      </w:r>
      <w:r w:rsidRPr="002D6782">
        <w:rPr>
          <w:rFonts w:cs="Arial"/>
          <w:sz w:val="24"/>
          <w:szCs w:val="15"/>
        </w:rPr>
        <w:t xml:space="preserve">. </w:t>
      </w:r>
      <w:r w:rsidRPr="002D6782">
        <w:rPr>
          <w:rFonts w:cs="Arial"/>
          <w:b/>
          <w:bCs/>
          <w:sz w:val="24"/>
          <w:szCs w:val="15"/>
        </w:rPr>
        <w:t xml:space="preserve">5.7 </w:t>
      </w:r>
      <w:r w:rsidRPr="002D6782">
        <w:rPr>
          <w:rFonts w:cs="Arial"/>
          <w:sz w:val="24"/>
          <w:szCs w:val="15"/>
        </w:rPr>
        <w:t xml:space="preserve">En efecto, conforme a los fundamentos expuestos en la presente resolución, el argumento de la empresa recurrente, referido a que la interpretación correcta del artículo 3° de la Ley N.° 29090, y del artículo 3° de la Norma Técnica TH 40 del RNE, es que no está obligada al pago del aporte obligatorio de </w:t>
      </w:r>
      <w:r w:rsidR="0094625A" w:rsidRPr="002D6782">
        <w:rPr>
          <w:rFonts w:cs="Arial"/>
          <w:sz w:val="24"/>
          <w:szCs w:val="15"/>
        </w:rPr>
        <w:t>Serpar</w:t>
      </w:r>
      <w:r w:rsidRPr="002D6782">
        <w:rPr>
          <w:rFonts w:cs="Arial"/>
          <w:sz w:val="24"/>
          <w:szCs w:val="15"/>
        </w:rPr>
        <w:t xml:space="preserve">, debe desestimarse al igual que la infracción normativa material declarada procedente. </w:t>
      </w:r>
      <w:r w:rsidRPr="002D6782">
        <w:rPr>
          <w:rFonts w:cs="Arial"/>
          <w:b/>
          <w:bCs/>
          <w:sz w:val="24"/>
          <w:szCs w:val="15"/>
          <w:u w:val="single"/>
        </w:rPr>
        <w:t>Sexto</w:t>
      </w:r>
      <w:r w:rsidRPr="002D6782">
        <w:rPr>
          <w:rFonts w:cs="Arial"/>
          <w:b/>
          <w:bCs/>
          <w:sz w:val="24"/>
          <w:szCs w:val="15"/>
        </w:rPr>
        <w:t xml:space="preserve">: </w:t>
      </w:r>
      <w:r w:rsidRPr="002D6782">
        <w:rPr>
          <w:rFonts w:cs="Arial"/>
          <w:sz w:val="24"/>
          <w:szCs w:val="15"/>
        </w:rPr>
        <w:t xml:space="preserve">En </w:t>
      </w:r>
      <w:r w:rsidRPr="002D6782">
        <w:rPr>
          <w:rFonts w:cs="Arial"/>
          <w:sz w:val="24"/>
          <w:szCs w:val="15"/>
        </w:rPr>
        <w:lastRenderedPageBreak/>
        <w:t xml:space="preserve">consecuencia, a juicio de esta Suprema Sala, al haberse determinado que las causales casatorias declaradas procedentes, no resultan amparables, la instancia de mérito resolvió de acuerdo a derecho al haber resuelto revocar la sentencia apelada contenida en la resolución número seis de fecha veintitrés de julio de dos mil diecinueve, que declaró fundada la demanda; y, reformándola la declararon infundada. </w:t>
      </w:r>
      <w:r w:rsidRPr="002D6782">
        <w:rPr>
          <w:rFonts w:cs="Arial"/>
          <w:b/>
          <w:bCs/>
          <w:sz w:val="24"/>
          <w:szCs w:val="15"/>
        </w:rPr>
        <w:t xml:space="preserve">VI. Decisión: </w:t>
      </w:r>
      <w:r w:rsidRPr="002D6782">
        <w:rPr>
          <w:rFonts w:cs="Arial"/>
          <w:sz w:val="24"/>
          <w:szCs w:val="15"/>
        </w:rPr>
        <w:t xml:space="preserve">Por los fundamentos expresados, y en aplicación del artículo 397 del Código Procesal Civil: </w:t>
      </w:r>
      <w:r w:rsidRPr="002D6782">
        <w:rPr>
          <w:rFonts w:cs="Arial"/>
          <w:b/>
          <w:bCs/>
          <w:sz w:val="24"/>
          <w:szCs w:val="15"/>
        </w:rPr>
        <w:t xml:space="preserve">Declararon: infundado </w:t>
      </w:r>
      <w:r w:rsidRPr="002D6782">
        <w:rPr>
          <w:rFonts w:cs="Arial"/>
          <w:sz w:val="24"/>
          <w:szCs w:val="15"/>
        </w:rPr>
        <w:t xml:space="preserve">el recurso de casación de fecha siete de enero de dos mil veintidós, obrante a fojas doscientos setenta y dos del expediente judicial digital - No Eje, presentado por </w:t>
      </w:r>
      <w:r w:rsidRPr="002D6782">
        <w:rPr>
          <w:rFonts w:cs="Arial"/>
          <w:b/>
          <w:bCs/>
          <w:sz w:val="24"/>
          <w:szCs w:val="15"/>
        </w:rPr>
        <w:t>Inmobideas Sociedad Anónima Cerrada</w:t>
      </w:r>
      <w:r w:rsidRPr="002D6782">
        <w:rPr>
          <w:rFonts w:cs="Arial"/>
          <w:sz w:val="24"/>
          <w:szCs w:val="15"/>
        </w:rPr>
        <w:t xml:space="preserve">; en consecuencia; </w:t>
      </w:r>
      <w:r w:rsidRPr="002D6782">
        <w:rPr>
          <w:rFonts w:cs="Arial"/>
          <w:b/>
          <w:bCs/>
          <w:sz w:val="24"/>
          <w:szCs w:val="15"/>
        </w:rPr>
        <w:t xml:space="preserve">no casaron </w:t>
      </w:r>
      <w:r w:rsidRPr="002D6782">
        <w:rPr>
          <w:rFonts w:cs="Arial"/>
          <w:sz w:val="24"/>
          <w:szCs w:val="15"/>
        </w:rPr>
        <w:t xml:space="preserve">la sentencia de vista contenida en la resolución número seis, de fecha siete de mayo de dos mil veintiuno, obrante a fojas doscientos treinta y cinco del expediente judicial digital - No Eje, emitida por la Sala Especializada en lo Contencioso Administrativo Transitoria de la Corte Superior de Justicia de Lima; </w:t>
      </w:r>
      <w:r w:rsidRPr="002D6782">
        <w:rPr>
          <w:rFonts w:cs="Arial"/>
          <w:b/>
          <w:bCs/>
          <w:sz w:val="24"/>
          <w:szCs w:val="15"/>
        </w:rPr>
        <w:t xml:space="preserve">dispusieron </w:t>
      </w:r>
      <w:r w:rsidRPr="002D6782">
        <w:rPr>
          <w:rFonts w:cs="Arial"/>
          <w:sz w:val="24"/>
          <w:szCs w:val="15"/>
        </w:rPr>
        <w:t xml:space="preserve">la publicación de la presente resolución en el Diario Oficial “El Peruano”; en el proceso seguido por Inmobideas Sociedad Anónima Cerrada contra el Servicio de Parques de Lima - SERPAR y otros, sobre nulidad de resolución administrativa; y devolvieron los actuados. Interviene como </w:t>
      </w:r>
      <w:r w:rsidRPr="002D6782">
        <w:rPr>
          <w:rFonts w:cs="Arial"/>
          <w:b/>
          <w:bCs/>
          <w:sz w:val="24"/>
          <w:szCs w:val="15"/>
        </w:rPr>
        <w:t>Juez Supremo ponente: Cartolin Pastor</w:t>
      </w:r>
      <w:r w:rsidRPr="002D6782">
        <w:rPr>
          <w:rFonts w:cs="Arial"/>
          <w:sz w:val="24"/>
          <w:szCs w:val="15"/>
        </w:rPr>
        <w:t>.</w:t>
      </w:r>
    </w:p>
    <w:p w14:paraId="7822DA3E" w14:textId="77777777" w:rsidR="002D6782" w:rsidRPr="002D6782" w:rsidRDefault="002D6782" w:rsidP="007F3343">
      <w:pPr>
        <w:spacing w:before="120"/>
        <w:rPr>
          <w:rFonts w:cs="Arial"/>
          <w:sz w:val="24"/>
          <w:szCs w:val="15"/>
        </w:rPr>
      </w:pPr>
      <w:r w:rsidRPr="002D6782">
        <w:rPr>
          <w:rFonts w:cs="Arial"/>
          <w:sz w:val="24"/>
          <w:szCs w:val="15"/>
        </w:rPr>
        <w:t>S. S.</w:t>
      </w:r>
    </w:p>
    <w:p w14:paraId="548BB39C" w14:textId="77777777" w:rsidR="002D6782" w:rsidRPr="002D6782" w:rsidRDefault="002D6782" w:rsidP="007F3343">
      <w:pPr>
        <w:spacing w:before="120"/>
        <w:rPr>
          <w:rFonts w:cs="Arial"/>
          <w:sz w:val="24"/>
          <w:szCs w:val="15"/>
        </w:rPr>
      </w:pPr>
      <w:r w:rsidRPr="002D6782">
        <w:rPr>
          <w:rFonts w:cs="Arial"/>
          <w:sz w:val="24"/>
          <w:szCs w:val="15"/>
        </w:rPr>
        <w:t>De La Rosa Bedriñana,</w:t>
      </w:r>
    </w:p>
    <w:p w14:paraId="5CB1C64C" w14:textId="77777777" w:rsidR="002D6782" w:rsidRPr="002D6782" w:rsidRDefault="002D6782" w:rsidP="007F3343">
      <w:pPr>
        <w:spacing w:before="120"/>
        <w:rPr>
          <w:rFonts w:cs="Arial"/>
          <w:sz w:val="24"/>
          <w:szCs w:val="15"/>
        </w:rPr>
      </w:pPr>
      <w:r w:rsidRPr="002D6782">
        <w:rPr>
          <w:rFonts w:cs="Arial"/>
          <w:sz w:val="24"/>
          <w:szCs w:val="15"/>
        </w:rPr>
        <w:t>Yrivarren Fallaque,</w:t>
      </w:r>
    </w:p>
    <w:p w14:paraId="3F8E72D6" w14:textId="77777777" w:rsidR="002D6782" w:rsidRPr="002D6782" w:rsidRDefault="002D6782" w:rsidP="007F3343">
      <w:pPr>
        <w:spacing w:before="120"/>
        <w:rPr>
          <w:rFonts w:cs="Arial"/>
          <w:sz w:val="24"/>
          <w:szCs w:val="15"/>
        </w:rPr>
      </w:pPr>
      <w:r w:rsidRPr="002D6782">
        <w:rPr>
          <w:rFonts w:cs="Arial"/>
          <w:sz w:val="24"/>
          <w:szCs w:val="15"/>
        </w:rPr>
        <w:t>Cartolin Pastor,</w:t>
      </w:r>
    </w:p>
    <w:p w14:paraId="60C1B317" w14:textId="77777777" w:rsidR="002D6782" w:rsidRPr="002D6782" w:rsidRDefault="002D6782" w:rsidP="007F3343">
      <w:pPr>
        <w:spacing w:before="120"/>
        <w:rPr>
          <w:rFonts w:cs="Arial"/>
          <w:sz w:val="24"/>
          <w:szCs w:val="15"/>
        </w:rPr>
      </w:pPr>
      <w:r w:rsidRPr="002D6782">
        <w:rPr>
          <w:rFonts w:cs="Arial"/>
          <w:sz w:val="24"/>
          <w:szCs w:val="15"/>
        </w:rPr>
        <w:t>Linares San Román,</w:t>
      </w:r>
    </w:p>
    <w:p w14:paraId="4D84F647" w14:textId="42FC3673" w:rsidR="002D6782" w:rsidRPr="002D6782" w:rsidRDefault="002D6782" w:rsidP="007F3343">
      <w:pPr>
        <w:spacing w:before="120"/>
        <w:rPr>
          <w:rFonts w:cs="Arial"/>
          <w:sz w:val="24"/>
        </w:rPr>
      </w:pPr>
      <w:r w:rsidRPr="002D6782">
        <w:rPr>
          <w:rFonts w:cs="Arial"/>
          <w:sz w:val="24"/>
          <w:szCs w:val="15"/>
        </w:rPr>
        <w:t>Díaz Vallejos</w:t>
      </w:r>
    </w:p>
    <w:p w14:paraId="3C2B3C98" w14:textId="67C7E62F" w:rsidR="002D6782" w:rsidRPr="002D6782" w:rsidRDefault="002D6782" w:rsidP="007F3343">
      <w:pPr>
        <w:spacing w:before="120"/>
        <w:rPr>
          <w:rFonts w:cs="Arial"/>
          <w:sz w:val="24"/>
        </w:rPr>
      </w:pPr>
      <w:r w:rsidRPr="002D6782">
        <w:rPr>
          <w:rFonts w:cs="Arial"/>
          <w:sz w:val="24"/>
        </w:rPr>
        <w:t>__________</w:t>
      </w:r>
    </w:p>
    <w:p w14:paraId="21B4F3F3" w14:textId="647B54B1" w:rsidR="002D6782" w:rsidRPr="002D6782" w:rsidRDefault="002D6782" w:rsidP="007F3343">
      <w:pPr>
        <w:spacing w:before="120"/>
        <w:rPr>
          <w:rFonts w:cs="Arial"/>
        </w:rPr>
      </w:pPr>
      <w:r w:rsidRPr="002D6782">
        <w:rPr>
          <w:rFonts w:cs="Arial"/>
        </w:rPr>
        <w:t>1 De Pina, Rafael. (1940). Principios de Derecho Procesal Civil. México: Ediciones Jurídicas Hispano Americana; p. 222.</w:t>
      </w:r>
    </w:p>
    <w:p w14:paraId="21BD924E" w14:textId="7216B81B" w:rsidR="002D6782" w:rsidRPr="002D6782" w:rsidRDefault="002D6782" w:rsidP="007F3343">
      <w:pPr>
        <w:spacing w:before="120"/>
        <w:rPr>
          <w:rFonts w:cs="Arial"/>
        </w:rPr>
      </w:pPr>
      <w:r w:rsidRPr="002D6782">
        <w:rPr>
          <w:rFonts w:cs="Arial"/>
        </w:rPr>
        <w:t>2 Escobar Fornos, Iván. (1990). Introducción al proceso. Bogotá: Editorial Temis; p. 241.</w:t>
      </w:r>
    </w:p>
    <w:p w14:paraId="7AD69048" w14:textId="145DDEF9" w:rsidR="002D6782" w:rsidRPr="002D6782" w:rsidRDefault="002D6782" w:rsidP="007F3343">
      <w:pPr>
        <w:spacing w:before="120"/>
        <w:rPr>
          <w:rFonts w:cs="Arial"/>
        </w:rPr>
      </w:pPr>
      <w:r w:rsidRPr="002D6782">
        <w:rPr>
          <w:rFonts w:cs="Arial"/>
        </w:rPr>
        <w:t>3 Ledesma Narváez, Maranella. (2008).Comentarios al Código Procesal Civil. Tomo I. Perú: Gaceta Jurídica; p. 310.</w:t>
      </w:r>
    </w:p>
    <w:p w14:paraId="1404B09F" w14:textId="41C0878D" w:rsidR="002D6782" w:rsidRPr="002D6782" w:rsidRDefault="002D6782" w:rsidP="007F3343">
      <w:pPr>
        <w:spacing w:before="120"/>
        <w:jc w:val="center"/>
        <w:rPr>
          <w:rFonts w:cs="Arial"/>
        </w:rPr>
      </w:pPr>
      <w:r w:rsidRPr="002D6782">
        <w:rPr>
          <w:rFonts w:cs="Arial"/>
        </w:rPr>
        <w:t xml:space="preserve">Documento publicado en el Diario Oficial </w:t>
      </w:r>
      <w:r w:rsidR="007F3343">
        <w:rPr>
          <w:rFonts w:cs="Arial"/>
        </w:rPr>
        <w:t>"</w:t>
      </w:r>
      <w:r w:rsidRPr="002D6782">
        <w:rPr>
          <w:rFonts w:cs="Arial"/>
        </w:rPr>
        <w:t>El Peruano</w:t>
      </w:r>
      <w:r w:rsidR="007F3343">
        <w:rPr>
          <w:rFonts w:cs="Arial"/>
        </w:rPr>
        <w:t>"</w:t>
      </w:r>
      <w:r w:rsidRPr="002D6782">
        <w:rPr>
          <w:rFonts w:cs="Arial"/>
        </w:rPr>
        <w:t xml:space="preserve"> el </w:t>
      </w:r>
      <w:r>
        <w:rPr>
          <w:rFonts w:cs="Arial"/>
        </w:rPr>
        <w:t>9</w:t>
      </w:r>
      <w:r w:rsidRPr="002D6782">
        <w:rPr>
          <w:rFonts w:cs="Arial"/>
        </w:rPr>
        <w:t xml:space="preserve"> de </w:t>
      </w:r>
      <w:r>
        <w:rPr>
          <w:rFonts w:cs="Arial"/>
        </w:rPr>
        <w:t>mayo</w:t>
      </w:r>
      <w:r w:rsidRPr="002D6782">
        <w:rPr>
          <w:rFonts w:cs="Arial"/>
        </w:rPr>
        <w:t xml:space="preserve"> del 2025.</w:t>
      </w:r>
    </w:p>
    <w:sectPr w:rsidR="002D6782" w:rsidRPr="002D678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30F7" w14:textId="77777777" w:rsidR="00521686" w:rsidRDefault="00521686" w:rsidP="002D6782">
      <w:r>
        <w:separator/>
      </w:r>
    </w:p>
  </w:endnote>
  <w:endnote w:type="continuationSeparator" w:id="0">
    <w:p w14:paraId="0ABF2D36" w14:textId="77777777" w:rsidR="00521686" w:rsidRDefault="00521686" w:rsidP="002D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9806" w14:textId="778625E3" w:rsidR="002D6782" w:rsidRPr="007F3343" w:rsidRDefault="003B3398" w:rsidP="007F334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7FD76A6" wp14:editId="02A7719D">
          <wp:extent cx="1276350" cy="304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A3765" w14:textId="77777777" w:rsidR="00521686" w:rsidRDefault="00521686" w:rsidP="002D6782">
      <w:r>
        <w:separator/>
      </w:r>
    </w:p>
  </w:footnote>
  <w:footnote w:type="continuationSeparator" w:id="0">
    <w:p w14:paraId="756459E6" w14:textId="77777777" w:rsidR="00521686" w:rsidRDefault="00521686" w:rsidP="002D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86F8" w14:textId="6B337C2E" w:rsidR="002D6782" w:rsidRDefault="003B3398" w:rsidP="007F3343">
    <w:pPr>
      <w:pStyle w:val="Encabezado"/>
      <w:spacing w:after="240"/>
    </w:pPr>
    <w:r>
      <w:rPr>
        <w:noProof/>
        <w:lang w:eastAsia="es-PE"/>
      </w:rPr>
      <w:drawing>
        <wp:inline distT="0" distB="0" distL="0" distR="0" wp14:anchorId="0D0DAC64" wp14:editId="7D3EBF07">
          <wp:extent cx="1506855" cy="5340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4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82"/>
    <w:rsid w:val="0002405D"/>
    <w:rsid w:val="000526BE"/>
    <w:rsid w:val="00096CEC"/>
    <w:rsid w:val="00133291"/>
    <w:rsid w:val="002017D0"/>
    <w:rsid w:val="002D6782"/>
    <w:rsid w:val="003B3398"/>
    <w:rsid w:val="004D2BB0"/>
    <w:rsid w:val="00521686"/>
    <w:rsid w:val="00580259"/>
    <w:rsid w:val="00615327"/>
    <w:rsid w:val="007F0EA7"/>
    <w:rsid w:val="007F3343"/>
    <w:rsid w:val="008066EB"/>
    <w:rsid w:val="008F2267"/>
    <w:rsid w:val="0094625A"/>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D6782"/>
    <w:pPr>
      <w:tabs>
        <w:tab w:val="center" w:pos="4252"/>
        <w:tab w:val="right" w:pos="8504"/>
      </w:tabs>
    </w:pPr>
  </w:style>
  <w:style w:type="character" w:customStyle="1" w:styleId="EncabezadoCar">
    <w:name w:val="Encabezado Car"/>
    <w:basedOn w:val="Fuentedeprrafopredeter"/>
    <w:link w:val="Encabezado"/>
    <w:uiPriority w:val="99"/>
    <w:rsid w:val="002D6782"/>
    <w:rPr>
      <w:rFonts w:ascii="Arial" w:hAnsi="Arial"/>
      <w:sz w:val="20"/>
    </w:rPr>
  </w:style>
  <w:style w:type="paragraph" w:styleId="Piedepgina">
    <w:name w:val="footer"/>
    <w:basedOn w:val="Normal"/>
    <w:link w:val="PiedepginaCar"/>
    <w:uiPriority w:val="99"/>
    <w:unhideWhenUsed/>
    <w:rsid w:val="002D6782"/>
    <w:pPr>
      <w:tabs>
        <w:tab w:val="center" w:pos="4252"/>
        <w:tab w:val="right" w:pos="8504"/>
      </w:tabs>
    </w:pPr>
  </w:style>
  <w:style w:type="character" w:customStyle="1" w:styleId="PiedepginaCar">
    <w:name w:val="Pie de página Car"/>
    <w:basedOn w:val="Fuentedeprrafopredeter"/>
    <w:link w:val="Piedepgina"/>
    <w:uiPriority w:val="99"/>
    <w:rsid w:val="002D6782"/>
    <w:rPr>
      <w:rFonts w:ascii="Arial" w:hAnsi="Arial"/>
      <w:sz w:val="20"/>
    </w:rPr>
  </w:style>
  <w:style w:type="paragraph" w:styleId="Textodeglobo">
    <w:name w:val="Balloon Text"/>
    <w:basedOn w:val="Normal"/>
    <w:link w:val="TextodegloboCar"/>
    <w:uiPriority w:val="99"/>
    <w:semiHidden/>
    <w:unhideWhenUsed/>
    <w:rsid w:val="007F334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D6782"/>
    <w:pPr>
      <w:tabs>
        <w:tab w:val="center" w:pos="4252"/>
        <w:tab w:val="right" w:pos="8504"/>
      </w:tabs>
    </w:pPr>
  </w:style>
  <w:style w:type="character" w:customStyle="1" w:styleId="EncabezadoCar">
    <w:name w:val="Encabezado Car"/>
    <w:basedOn w:val="Fuentedeprrafopredeter"/>
    <w:link w:val="Encabezado"/>
    <w:uiPriority w:val="99"/>
    <w:rsid w:val="002D6782"/>
    <w:rPr>
      <w:rFonts w:ascii="Arial" w:hAnsi="Arial"/>
      <w:sz w:val="20"/>
    </w:rPr>
  </w:style>
  <w:style w:type="paragraph" w:styleId="Piedepgina">
    <w:name w:val="footer"/>
    <w:basedOn w:val="Normal"/>
    <w:link w:val="PiedepginaCar"/>
    <w:uiPriority w:val="99"/>
    <w:unhideWhenUsed/>
    <w:rsid w:val="002D6782"/>
    <w:pPr>
      <w:tabs>
        <w:tab w:val="center" w:pos="4252"/>
        <w:tab w:val="right" w:pos="8504"/>
      </w:tabs>
    </w:pPr>
  </w:style>
  <w:style w:type="character" w:customStyle="1" w:styleId="PiedepginaCar">
    <w:name w:val="Pie de página Car"/>
    <w:basedOn w:val="Fuentedeprrafopredeter"/>
    <w:link w:val="Piedepgina"/>
    <w:uiPriority w:val="99"/>
    <w:rsid w:val="002D6782"/>
    <w:rPr>
      <w:rFonts w:ascii="Arial" w:hAnsi="Arial"/>
      <w:sz w:val="20"/>
    </w:rPr>
  </w:style>
  <w:style w:type="paragraph" w:styleId="Textodeglobo">
    <w:name w:val="Balloon Text"/>
    <w:basedOn w:val="Normal"/>
    <w:link w:val="TextodegloboCar"/>
    <w:uiPriority w:val="99"/>
    <w:semiHidden/>
    <w:unhideWhenUsed/>
    <w:rsid w:val="007F334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5375</Words>
  <Characters>29568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2025-06-05T15:15:00Z</dcterms:created>
  <dcterms:modified xsi:type="dcterms:W3CDTF">2025-06-06T04:18:00Z</dcterms:modified>
</cp:coreProperties>
</file>