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520B" w14:textId="61812652" w:rsidR="00260C86" w:rsidRPr="00260C86" w:rsidRDefault="00260C86" w:rsidP="00A05ACE">
      <w:pPr>
        <w:spacing w:before="120"/>
        <w:jc w:val="center"/>
        <w:rPr>
          <w:b/>
          <w:bCs/>
          <w:sz w:val="24"/>
        </w:rPr>
      </w:pPr>
      <w:r w:rsidRPr="00260C86">
        <w:rPr>
          <w:b/>
          <w:bCs/>
          <w:sz w:val="24"/>
        </w:rPr>
        <w:t xml:space="preserve">Disponen la publicación del proyecto de Decreto </w:t>
      </w:r>
      <w:r w:rsidR="00122A25" w:rsidRPr="00260C86">
        <w:rPr>
          <w:b/>
          <w:bCs/>
          <w:sz w:val="24"/>
        </w:rPr>
        <w:t xml:space="preserve">supremo </w:t>
      </w:r>
      <w:r w:rsidRPr="00260C86">
        <w:rPr>
          <w:b/>
          <w:bCs/>
          <w:sz w:val="24"/>
        </w:rPr>
        <w:t>que modifica el Reglamento de notificación obligatoria vía casilla electrónica de la Superintendencia Nacional de Bienes Estatales, aprobado por el Decreto Supremo N.° 004-2021-Vivienda y su exposición de motivos</w:t>
      </w:r>
    </w:p>
    <w:p w14:paraId="5445A2A7" w14:textId="285E5836" w:rsidR="00260C86" w:rsidRPr="00260C86" w:rsidRDefault="00260C86" w:rsidP="00A05ACE">
      <w:pPr>
        <w:spacing w:before="120"/>
        <w:jc w:val="center"/>
        <w:rPr>
          <w:b/>
          <w:bCs/>
          <w:sz w:val="24"/>
        </w:rPr>
      </w:pPr>
      <w:bookmarkStart w:id="0" w:name="_GoBack"/>
      <w:r w:rsidRPr="00260C86">
        <w:rPr>
          <w:b/>
          <w:bCs/>
          <w:sz w:val="24"/>
        </w:rPr>
        <w:t>Resolución Ministerial N.° 136-2025-Vivienda</w:t>
      </w:r>
      <w:bookmarkEnd w:id="0"/>
    </w:p>
    <w:p w14:paraId="330A2479" w14:textId="326E8075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Lima, 19 de mayo del 2025</w:t>
      </w:r>
    </w:p>
    <w:p w14:paraId="7B49EA7E" w14:textId="3D9C8884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Visto:</w:t>
      </w:r>
    </w:p>
    <w:p w14:paraId="24B8ADD9" w14:textId="47131C52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 xml:space="preserve">Los </w:t>
      </w:r>
      <w:r w:rsidR="00122A25" w:rsidRPr="00260C86">
        <w:rPr>
          <w:sz w:val="24"/>
        </w:rPr>
        <w:t xml:space="preserve">oficios </w:t>
      </w:r>
      <w:r w:rsidRPr="00260C86">
        <w:rPr>
          <w:sz w:val="24"/>
        </w:rPr>
        <w:t>N.° 00067-2025/SBN y N.° 00242-2025/SBN, de la Superintendencia Nacional de Bienes Estatales, el Informe N.° 378-2025-Vivienda/SG-OGAJ de la Oficina General de Asesoría Jurídica (OGAJ); y,</w:t>
      </w:r>
    </w:p>
    <w:p w14:paraId="75CD38F9" w14:textId="4D8006D2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Considerando:</w:t>
      </w:r>
    </w:p>
    <w:p w14:paraId="3BC098D6" w14:textId="3BFF141F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 xml:space="preserve">Que, los artículos 5° y 6° de la Ley N.° 30156, Ley de Organización y Funciones del Ministerio de Vivienda, Construcción y Saneamiento, establecen que el Ministerio de Vivienda, Construcción y Saneamiento (en adelante, MVCS), tiene competencias, entre otras, en la materia de bienes estatales; y es el órgano rector de las políticas nacionales y sectoriales dentro del ámbito de su competencia, que son de obligatorio cumplimiento por los tres niveles de gobierno en el marco del proceso de descentralización, y en todo el territorio nacional; asimismo, tiene entre sus funciones exclusivas, normar, aprobar, ejecutar y supervisar las políticas nacionales sobre administración y adjudicación de terrenos de propiedad del Estado, en el marco del Sistema Nacional de Bienes Estatales, conforme se indica en el numeral 7 del artículo 9° de la mencionada </w:t>
      </w:r>
      <w:r w:rsidR="00122A25" w:rsidRPr="00260C86">
        <w:rPr>
          <w:sz w:val="24"/>
        </w:rPr>
        <w:t>ley</w:t>
      </w:r>
      <w:r w:rsidRPr="00260C86">
        <w:rPr>
          <w:sz w:val="24"/>
        </w:rPr>
        <w:t>;</w:t>
      </w:r>
    </w:p>
    <w:p w14:paraId="266A0C73" w14:textId="045C68EB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 xml:space="preserve">Que, el numeral 1 del artículo 19 de la </w:t>
      </w:r>
      <w:r w:rsidR="00122A25" w:rsidRPr="00260C86">
        <w:rPr>
          <w:sz w:val="24"/>
        </w:rPr>
        <w:t xml:space="preserve">ley </w:t>
      </w:r>
      <w:r w:rsidRPr="00260C86">
        <w:rPr>
          <w:sz w:val="24"/>
        </w:rPr>
        <w:t>citada precedentemente, establece que la Superintendencia Nacional de Bienes Estatales (en adelante, SBN) es un organismo público adscrito al MVCS;</w:t>
      </w:r>
    </w:p>
    <w:p w14:paraId="543B6CFA" w14:textId="3ED2ECE0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Que, el artículo 13 del Texto Único Ordenado de la Ley N.° 29151, Ley General del Sistema Nacional de Bienes Estatales, aprobado por el Decreto Supremo N.° 019-2019-Vivienda, establece que la SBN es el ente rector responsable tanto de normar los actos de adquisición, disposición, administración y supervisión de los predios estatales, como de ejecutar dichos actos respecto de los predios cuya administración está a su cargo, de acuerdo a la normatividad vigente, gozando de autonomía económica, presupuestal, financiera, técnica y funcional, con representación judicial propia;</w:t>
      </w:r>
    </w:p>
    <w:p w14:paraId="0832B245" w14:textId="77777777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Que, en ejercicio de las funciones y atribuciones señaladas precedentemente, la SBN tiene a su cargo la tramitación de diferentes procedimientos administrativos, así como efectuar diversas actuaciones administrativas;</w:t>
      </w:r>
    </w:p>
    <w:p w14:paraId="0AC957F0" w14:textId="2AABF64C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Que, mediante el Decreto Supremo N.° 004-2021-Vivienda, publicado en el Diario Oficial El Peruano el 10 de febrero de 2021, se dispone la obligatoriedad de la notificación vía casilla electrónica de los actos administrativos y actuaciones administrativas emitidas por la SBN, con la finalidad de incrementar la eficiencia institucional, a través de mayor celeridad en las notificaciones a los administrados y a las administradas; y, se aprueba el Reglamento de notificación obligatoria vía casilla electrónica de la SBN;</w:t>
      </w:r>
    </w:p>
    <w:p w14:paraId="3A7786E8" w14:textId="1CB73E6E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lastRenderedPageBreak/>
        <w:t>Que, la promulgación de las leyes: i) Ley N.° 31170, Ley que dispone la implementación de mesas de partes digitales y notificaciones electrónicas, publicada el 21 de abril de 2021, ii) Ley N.° 31465, Ley que modifica la Ley N.° 27444, Ley del Procedimiento Administrativo General, a fin de facilitar la recepción documental digital, publicada el 4 de mayo de 2022, y iii) Ley N.° 31736, Ley que regula la notificación administrativa mediante casilla electrónica, publicada el 5 de mayo del 2023, causaron incidencia directa sobre lo dispuesto en el Reglamento de notificación obligatoria vía casilla electrónica de la SBN, aprobado mediante el Decreto Supremo N.° 004-2021-Vivienda;</w:t>
      </w:r>
    </w:p>
    <w:p w14:paraId="2ACF077F" w14:textId="57286CE3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Que, en ese sentido, en atención al marco normativo aprobado con posterioridad al Decreto Supremo N.° 004-2021-Vivienda, corresponde adecuar los artículos 4°, 5°, 7°, 9°, 10 y 12 del Reglamento de notificación obligatoria vía casilla electrónica de la SBN aprobado por el Decreto Supremo N.° 004-2021-Vivienda, de tal manera que este documento de gestión interna esté dotado de las garantías para una adecuada notificación electrónica a favor de los administrados;</w:t>
      </w:r>
    </w:p>
    <w:p w14:paraId="5F491FF7" w14:textId="3B0DC5BF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 xml:space="preserve">Que, en el marco de las normas citadas precedentemente y mediante Oficio N.° 00067-2025/SBN que contiene el Informe N.° 00008-2025/SBN-OAJ, y el Oficio N.° 00242-2025/SBN que contiene el Informe N.° 00092-2025/SBN-OAJ, la SBN, a través de su Oficina de Asesoría Jurídica, propone y sustenta la emisión de </w:t>
      </w:r>
      <w:r w:rsidR="00122A25" w:rsidRPr="00260C86">
        <w:rPr>
          <w:sz w:val="24"/>
        </w:rPr>
        <w:t>un decreto supremo</w:t>
      </w:r>
      <w:r w:rsidRPr="00260C86">
        <w:rPr>
          <w:sz w:val="24"/>
        </w:rPr>
        <w:t xml:space="preserve"> que modifica el Reglamento de notificación obligatoria vía casilla electrónica de la SBN, aprobado por el Decreto Supremo N.° 004-2021-Vivienda, de tal manera que sirva de herramienta normativa que guarde coherencia con la normativa actual sobre la obligatoriedad de la notificación vía casilla electrónica; además, sustenta y propone el proyecto de resolución ministerial que dispone la publicación del </w:t>
      </w:r>
      <w:r w:rsidR="00122A25" w:rsidRPr="00260C86">
        <w:rPr>
          <w:sz w:val="24"/>
        </w:rPr>
        <w:t xml:space="preserve">proyecto de decreto supremo antes señalado </w:t>
      </w:r>
      <w:r w:rsidRPr="00260C86">
        <w:rPr>
          <w:sz w:val="24"/>
        </w:rPr>
        <w:t>y de su Exposición de Motivos, por el plazo de quince días calendario a efectos de recibir comentarios, aportes u opiniones de la ciudadanía;</w:t>
      </w:r>
    </w:p>
    <w:p w14:paraId="51AAA394" w14:textId="7D879977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Que, el numeral 19.1 del artículo 19 del Reglamento que establece disposiciones sobre publicación y difusión de normas jurídicas de carácter general, resoluciones y proyectos normativos, aprobado mediante el Decreto Supremo N.° 009-2024-JUS, los proyectos de normas jurídicas de carácter general se publican en las sedes digitales de las entidades de la Administración Pública a cargo de su elaboración o en otro medio, asegurando su debida difusión y fácil acceso; el plazo para la recepción de los comentarios, aportes u opiniones, no debe ser menor a quince días calendario contados desde el día siguiente de su publicación, salvo disposición normativa de rango superior que establezca lo contrario, conforme a lo señalado en el literal c) del numeral 20.1 del artículo 20 del acotado Reglamento; y, el numeral 21.1 del artículo 21 precisa que la publicación de un proyecto normativo se aprueba mediante resolución ministerial o resolución del titular de la entidad de la Administración Pública, y se publica en el diario oficial;</w:t>
      </w:r>
    </w:p>
    <w:p w14:paraId="62A2962C" w14:textId="33AFAEAD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 xml:space="preserve">Que, conforme al sustento efectuado por la SBN, existe la necesidad de realizar la publicación del proyecto de Decreto </w:t>
      </w:r>
      <w:r w:rsidR="00122A25" w:rsidRPr="00260C86">
        <w:rPr>
          <w:sz w:val="24"/>
        </w:rPr>
        <w:t xml:space="preserve">supremo </w:t>
      </w:r>
      <w:r w:rsidRPr="00260C86">
        <w:rPr>
          <w:sz w:val="24"/>
        </w:rPr>
        <w:t xml:space="preserve">que modifica el Reglamento de notificación obligatoria vía casilla electrónica de la SBN, aprobado por el Decreto Supremo N.° 004-2021-Vivienda y de su Exposición </w:t>
      </w:r>
      <w:r w:rsidRPr="00260C86">
        <w:rPr>
          <w:sz w:val="24"/>
        </w:rPr>
        <w:lastRenderedPageBreak/>
        <w:t>de Motivos, con la finalidad de difundir dicho proyecto y así recibir los respectivos comentarios, aportes u opiniones de la ciudadanía;</w:t>
      </w:r>
    </w:p>
    <w:p w14:paraId="3D89E839" w14:textId="5538AC6B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 xml:space="preserve">Que, a través del Informe N.° 378-2025-Vivienda/SG-OGAJ, desde el punto de vista legal, la OGAJ emite opinión favorable para continuar con el trámite de aprobación de </w:t>
      </w:r>
      <w:r w:rsidR="00122A25" w:rsidRPr="00260C86">
        <w:rPr>
          <w:sz w:val="24"/>
        </w:rPr>
        <w:t>la resolución ministerial que dispone la publicación del proyecto de Decreto supremo que mo</w:t>
      </w:r>
      <w:r w:rsidRPr="00260C86">
        <w:rPr>
          <w:sz w:val="24"/>
        </w:rPr>
        <w:t>difica el Reglamento de notificación obligatoria vía casilla electrónica de la SBN, aprobado por el Decreto Supremo N.° 004-2021-Vivienda y de su Exposición de Motivos;</w:t>
      </w:r>
    </w:p>
    <w:p w14:paraId="57B5EF62" w14:textId="45E5764C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 xml:space="preserve">Que, en consecuencia, corresponde disponer la publicación del proyecto de Decreto </w:t>
      </w:r>
      <w:r w:rsidR="00122A25" w:rsidRPr="00260C86">
        <w:rPr>
          <w:sz w:val="24"/>
        </w:rPr>
        <w:t xml:space="preserve">supremo </w:t>
      </w:r>
      <w:r w:rsidRPr="00260C86">
        <w:rPr>
          <w:sz w:val="24"/>
        </w:rPr>
        <w:t>que modifica el Reglamento de notificación obligatoria vía casilla electrónica de la SBN, aprobado por el Decreto Supremo N.° 004-2021-Vivienda y de su Exposición de Motivos, a fin de recibir los comentarios, aportes u opiniones de la ciudadanía;</w:t>
      </w:r>
    </w:p>
    <w:p w14:paraId="0EAE3F76" w14:textId="2AAA7DE8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De conformidad con lo dispuesto en la Ley N.° 30156, Ley de Organización y Funciones del Ministerio de Vivienda, Construcción y Saneamiento, y modificatoria; en el Texto Único Ordenado de Ley N.° 27444, Ley del Procedimiento Administrativo General, aprobado mediante el Decreto Supremo N.° 004-2019-JUS y, en el Reglamento que establece disposiciones sobre publicación y difusión de normas jurídicas de carácter general, resoluciones y proyectos normativos, aprobado por el Decreto Supremo N.° 009-2024-JUS;</w:t>
      </w:r>
    </w:p>
    <w:p w14:paraId="2640F8C7" w14:textId="46963C1F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Se resuelve:</w:t>
      </w:r>
    </w:p>
    <w:p w14:paraId="459E0CC3" w14:textId="286CFFB0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 xml:space="preserve">Artículo 1°.- </w:t>
      </w:r>
      <w:r w:rsidRPr="00260C86">
        <w:rPr>
          <w:b/>
          <w:bCs/>
          <w:sz w:val="24"/>
        </w:rPr>
        <w:t xml:space="preserve">Publicación del proyecto normativo. </w:t>
      </w:r>
      <w:r w:rsidRPr="00260C86">
        <w:rPr>
          <w:sz w:val="24"/>
        </w:rPr>
        <w:t xml:space="preserve">Disponer la publicación del proyecto de Decreto </w:t>
      </w:r>
      <w:r w:rsidR="00122A25" w:rsidRPr="00260C86">
        <w:rPr>
          <w:sz w:val="24"/>
        </w:rPr>
        <w:t xml:space="preserve">supremo </w:t>
      </w:r>
      <w:r w:rsidRPr="00260C86">
        <w:rPr>
          <w:sz w:val="24"/>
        </w:rPr>
        <w:t>que modifica el Reglamento de notificación obligatoria vía casilla electrónica de la Superintendencia Nacional de Bienes Estatales, aprobado por el Decreto Supremo N.° 004-2021-Vivienda y su Exposición de Motivos, en las sedes digitales del Ministerio de Vivienda, Construcción y Saneamiento (www.gob.pe/vivienda), y de la Superintendencia Nacional de Bienes Estatales (www.gob.pe/sbn), el mismo día de la publicación de la presente resolución ministerial en el Diario Oficial El Peruano, a efectos de recibir los comentarios, aportes u opiniones de la ciudadanía, dentro del plazo de quince días calendario, contado desde el día siguiente de su publicación.</w:t>
      </w:r>
    </w:p>
    <w:p w14:paraId="611D2FBA" w14:textId="0D518BD6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 xml:space="preserve">Artículo 2°.- </w:t>
      </w:r>
      <w:r w:rsidRPr="00260C86">
        <w:rPr>
          <w:b/>
          <w:bCs/>
          <w:sz w:val="24"/>
        </w:rPr>
        <w:t xml:space="preserve">Recepción, Sistematización y análisis de información. </w:t>
      </w:r>
      <w:r w:rsidRPr="00260C86">
        <w:rPr>
          <w:sz w:val="24"/>
        </w:rPr>
        <w:t>Encargar a la Oficina de Asesoría Jurídica de la Superintendencia Nacional de Bienes Estatales, la recepción, sistematización y análisis de los comentarios, aportes u opiniones que se presenten respecto del proyecto normativo citado en el artículo precedente, las que recibirán a través del correo electrónico: jramirez@sbn.gob.pe.</w:t>
      </w:r>
    </w:p>
    <w:p w14:paraId="61176885" w14:textId="77777777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Regístrese, comuníquese y publíquese.</w:t>
      </w:r>
    </w:p>
    <w:p w14:paraId="741563AD" w14:textId="2ECB0A3A" w:rsidR="00260C86" w:rsidRPr="00260C86" w:rsidRDefault="00260C86" w:rsidP="00A05ACE">
      <w:pPr>
        <w:spacing w:before="120"/>
        <w:rPr>
          <w:sz w:val="24"/>
        </w:rPr>
      </w:pPr>
      <w:r w:rsidRPr="00260C86">
        <w:rPr>
          <w:sz w:val="24"/>
        </w:rPr>
        <w:t>Durich Francisco Whittembury Talledo</w:t>
      </w:r>
    </w:p>
    <w:p w14:paraId="23AD5A2F" w14:textId="3E5412C3" w:rsidR="002017D0" w:rsidRDefault="00260C86" w:rsidP="00A05ACE">
      <w:pPr>
        <w:spacing w:before="120"/>
      </w:pPr>
      <w:r w:rsidRPr="00260C86">
        <w:rPr>
          <w:sz w:val="24"/>
        </w:rPr>
        <w:t>Ministro de Vivienda, Construcción y Saneamiento</w:t>
      </w:r>
    </w:p>
    <w:p w14:paraId="41E9CD63" w14:textId="6374A993" w:rsidR="00260C86" w:rsidRDefault="00260C86" w:rsidP="00A05ACE">
      <w:pPr>
        <w:spacing w:before="120"/>
        <w:jc w:val="center"/>
      </w:pPr>
      <w:r w:rsidRPr="00260C86">
        <w:t xml:space="preserve">Documento publicado en el Diario Oficial </w:t>
      </w:r>
      <w:r w:rsidR="00A05ACE">
        <w:t>"</w:t>
      </w:r>
      <w:r w:rsidRPr="00260C86">
        <w:t>El Peruano</w:t>
      </w:r>
      <w:r w:rsidR="00A05ACE">
        <w:t>"</w:t>
      </w:r>
      <w:r w:rsidRPr="00260C86">
        <w:t xml:space="preserve"> el 20 de mayo del 2025.</w:t>
      </w:r>
    </w:p>
    <w:sectPr w:rsidR="00260C8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440DC" w14:textId="77777777" w:rsidR="00971A6C" w:rsidRDefault="00971A6C" w:rsidP="00260C86">
      <w:r>
        <w:separator/>
      </w:r>
    </w:p>
  </w:endnote>
  <w:endnote w:type="continuationSeparator" w:id="0">
    <w:p w14:paraId="6C861101" w14:textId="77777777" w:rsidR="00971A6C" w:rsidRDefault="00971A6C" w:rsidP="002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A79A6" w14:textId="795D7F45" w:rsidR="00260C86" w:rsidRPr="00A05ACE" w:rsidRDefault="00260C86" w:rsidP="00A05ACE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0C51510B" wp14:editId="753E4B09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689F3" w14:textId="77777777" w:rsidR="00971A6C" w:rsidRDefault="00971A6C" w:rsidP="00260C86">
      <w:r>
        <w:separator/>
      </w:r>
    </w:p>
  </w:footnote>
  <w:footnote w:type="continuationSeparator" w:id="0">
    <w:p w14:paraId="2D1CA517" w14:textId="77777777" w:rsidR="00971A6C" w:rsidRDefault="00971A6C" w:rsidP="00260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2E431" w14:textId="0116D8C8" w:rsidR="00260C86" w:rsidRDefault="00260C86" w:rsidP="00A05ACE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6EC428BF" wp14:editId="2C34CFDB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86"/>
    <w:rsid w:val="0002405D"/>
    <w:rsid w:val="000526BE"/>
    <w:rsid w:val="00096CEC"/>
    <w:rsid w:val="00122A25"/>
    <w:rsid w:val="00133291"/>
    <w:rsid w:val="002017D0"/>
    <w:rsid w:val="00260C86"/>
    <w:rsid w:val="00580259"/>
    <w:rsid w:val="00615327"/>
    <w:rsid w:val="007F0EA7"/>
    <w:rsid w:val="008066EB"/>
    <w:rsid w:val="008F2267"/>
    <w:rsid w:val="00971A6C"/>
    <w:rsid w:val="00A05ACE"/>
    <w:rsid w:val="00AA3083"/>
    <w:rsid w:val="00BB3261"/>
    <w:rsid w:val="00C32D53"/>
    <w:rsid w:val="00CA7A46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97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60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0C8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60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C8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A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60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0C8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60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C8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A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1400</Words>
  <Characters>7703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4</cp:revision>
  <dcterms:created xsi:type="dcterms:W3CDTF">2025-05-20T14:58:00Z</dcterms:created>
  <dcterms:modified xsi:type="dcterms:W3CDTF">2025-05-20T20:42:00Z</dcterms:modified>
</cp:coreProperties>
</file>