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81C20" w14:textId="3B021F82" w:rsidR="00420493" w:rsidRPr="00420493" w:rsidRDefault="00420493" w:rsidP="0036187C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420493">
        <w:rPr>
          <w:b/>
          <w:bCs/>
          <w:sz w:val="24"/>
        </w:rPr>
        <w:t xml:space="preserve">Aprueban el uso de la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Plataforma de Autenticación de la Identidad Digital Nacional ID-PERÚ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 xml:space="preserve"> del Reniec para el acceso al servicio gratuito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VISOR BGR</w:t>
      </w:r>
      <w:r w:rsidR="0036187C">
        <w:rPr>
          <w:b/>
          <w:bCs/>
          <w:sz w:val="24"/>
        </w:rPr>
        <w:t>"</w:t>
      </w:r>
    </w:p>
    <w:p w14:paraId="1C06F00B" w14:textId="45F73882" w:rsidR="00420493" w:rsidRPr="00420493" w:rsidRDefault="00420493" w:rsidP="0036187C">
      <w:pPr>
        <w:spacing w:before="120"/>
        <w:jc w:val="center"/>
        <w:rPr>
          <w:b/>
          <w:bCs/>
          <w:sz w:val="24"/>
        </w:rPr>
      </w:pPr>
      <w:r w:rsidRPr="00420493">
        <w:rPr>
          <w:b/>
          <w:bCs/>
          <w:sz w:val="24"/>
        </w:rPr>
        <w:t>Resolución de la Superintendencia Nacional de los Registros Públicos N.° 00084-2025-Sunarp</w:t>
      </w:r>
      <w:r w:rsidR="0036187C">
        <w:rPr>
          <w:b/>
          <w:bCs/>
          <w:sz w:val="24"/>
        </w:rPr>
        <w:t>-</w:t>
      </w:r>
      <w:r w:rsidRPr="00420493">
        <w:rPr>
          <w:b/>
          <w:bCs/>
          <w:sz w:val="24"/>
        </w:rPr>
        <w:t>SN</w:t>
      </w:r>
    </w:p>
    <w:p w14:paraId="000B8225" w14:textId="78B8008B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Lima, 29 de mayo del 2025</w:t>
      </w:r>
    </w:p>
    <w:p w14:paraId="2C2CFF5D" w14:textId="2BE25078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Vistos:</w:t>
      </w:r>
    </w:p>
    <w:p w14:paraId="15FF6B4B" w14:textId="56B2484C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El Informe Técnico N.° 00042-2025-Sunarp</w:t>
      </w:r>
      <w:r w:rsidR="0036187C">
        <w:rPr>
          <w:sz w:val="24"/>
        </w:rPr>
        <w:t>-</w:t>
      </w:r>
      <w:r w:rsidRPr="00420493">
        <w:rPr>
          <w:sz w:val="24"/>
        </w:rPr>
        <w:t>DTR del 22 de mayo del 2025, de la Dirección Técnica Registral; el Memorándum N.° 00708-2025-Sunarp</w:t>
      </w:r>
      <w:r w:rsidR="0036187C">
        <w:rPr>
          <w:sz w:val="24"/>
        </w:rPr>
        <w:t>-</w:t>
      </w:r>
      <w:r w:rsidRPr="00420493">
        <w:rPr>
          <w:sz w:val="24"/>
        </w:rPr>
        <w:t>OTI del 23 de mayo del 2025, de la Oficina de Tecnologías de la Información; el Informe N.° 00505-2025-Sunarp</w:t>
      </w:r>
      <w:r w:rsidR="0036187C">
        <w:rPr>
          <w:sz w:val="24"/>
        </w:rPr>
        <w:t>-</w:t>
      </w:r>
      <w:r w:rsidRPr="00420493">
        <w:rPr>
          <w:sz w:val="24"/>
        </w:rPr>
        <w:t>OAJ del 26 de mayo del 2025, de la Oficina de Asesoría Jurídica; y,</w:t>
      </w:r>
    </w:p>
    <w:p w14:paraId="2C60E541" w14:textId="196919AA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Considerando:</w:t>
      </w:r>
    </w:p>
    <w:p w14:paraId="03C60DAA" w14:textId="7FF2F035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la Superintendencia Nacional de los Registros Públicos - Sunarp es un Organismo Técnico Especializado del Sector Justicia y Derechos Humanos que tiene por objeto dictar las políticas técnico administrativas de los Registros Públicos, estando encargada de planificar, organizar, normar, dirigir, coordinar y supervisar la inscripción y publicidad de los actos y contratos en los Registros Públicos que integran el Sistema Nacional, en el marco de un proceso de simplificación, integración y modernización de los </w:t>
      </w:r>
      <w:r w:rsidR="0036187C" w:rsidRPr="00420493">
        <w:rPr>
          <w:sz w:val="24"/>
        </w:rPr>
        <w:t>registros</w:t>
      </w:r>
      <w:r w:rsidRPr="00420493">
        <w:rPr>
          <w:sz w:val="24"/>
        </w:rPr>
        <w:t>;</w:t>
      </w:r>
    </w:p>
    <w:p w14:paraId="0199360B" w14:textId="7F5D5D79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Que, mediante la Ley N.° 27658, Ley Marco de Modernización de la Gestión del Estado, se declara al Estado peruano en proceso de modernización en sus diferentes instancias, dependencias, entidades, organizaciones y procedimientos, con la finalidad de mejorar la gestión pública y construir un Estado democrático, descentralizado y al servicio del ciudadano;</w:t>
      </w:r>
    </w:p>
    <w:p w14:paraId="3AFF1440" w14:textId="6FE6E662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en el </w:t>
      </w:r>
      <w:r w:rsidR="0036187C" w:rsidRPr="00420493">
        <w:rPr>
          <w:sz w:val="24"/>
        </w:rPr>
        <w:t xml:space="preserve">Artículo </w:t>
      </w:r>
      <w:r w:rsidRPr="00420493">
        <w:rPr>
          <w:sz w:val="24"/>
        </w:rPr>
        <w:t>II del Título Preliminar de la Ley N.° 29158, Ley Orgánica del Poder Ejecutivo, se establece que, en virtud del principio de servicio al ciudadano, las entidades del Poder Ejecutivo están al servicio de las personas y de la sociedad, y actúan en función de sus necesidades así como del interés general de la Nación, asegurando que su actividad se realice, entre otros, con arreglo a la eficiencia; por lo que, su gestión debe realizarse optimizando la utilización de los recursos disponibles, procurando la innovación y la mejora continua;</w:t>
      </w:r>
    </w:p>
    <w:p w14:paraId="53702E69" w14:textId="072DB035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Que, mediante el Decreto de Urgencia N.° 006-2020, que crea el Sistema Nacional de Transformación Digital, se define a los servicios digitales centrados en las personas como aquella creación, diseño y desarrollo de servicios digitales que responde a las demandas y necesidades de la ciudadanía, buscando asegurar la generación de valor público;</w:t>
      </w:r>
    </w:p>
    <w:p w14:paraId="5BD37C2A" w14:textId="30E66F10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a través del Decreto de Urgencia N.° 007-2020, que aprueba el marco de confianza digital y dispone medidas para su fortalecimiento, se establece que la confianza digital emerge como resultado de cuán veraces, predecibles, éticas, proactivas, transparentes, seguras, inclusivas y confiables son las interacciones digitales que se generan entre personas, empresas, entidades públicas o cosas </w:t>
      </w:r>
      <w:r w:rsidRPr="00420493">
        <w:rPr>
          <w:sz w:val="24"/>
        </w:rPr>
        <w:lastRenderedPageBreak/>
        <w:t>en el entorno digital, con el propósito de impulsar el desarrollo de la economía digital y la transformación digital;</w:t>
      </w:r>
    </w:p>
    <w:p w14:paraId="0826DD3E" w14:textId="556F6361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Que, en los artículos 40 y 41 del Reglamento de la Ley N.° 27269, Ley de Firmas y Certificados Digitales, aprobado por el Decreto Supremo N.° 052-2008-PCM, se establece el derecho de los ciudadanos de acceder a los servicios públicos electrónicos seguros, amparado en el Principio de Presunción, reconocimiento y validez de los documentos electrónicos y medios de autenticación empleados en los trámites y procedimientos administrativos; asimismo, en el artículo 45 se señala que el Documento Nacional de Identidad Electrónico (DNIe), emitido por el Registro Nacional de Identificación y Estado Civil - Reniec, acredita, presencial y/o electrónicamente, la identidad personal de su titular, conteniendo entre otros, los certificados digitales emitidos por la Entidad de Certificación para el Estado Peruano (ECEP) del Reniec, cuyas funcionalidades permiten identificar y autenticar al titular; en ese contexto, se desarrolla el mecanismo de autenticación segura, haciendo uso de estos certificados digitales que garantizan la validación de la identidad digital del ciudadano peruano;</w:t>
      </w:r>
    </w:p>
    <w:p w14:paraId="2DE0F9E7" w14:textId="00DC0FEF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con el Decreto Legislativo N.° 1412 se aprueba la Ley de Gobierno Digital, la cual define que el gobierno digital es el uso estratégico de las tecnologías digitales y datos en la Administración </w:t>
      </w:r>
      <w:r w:rsidR="0036187C" w:rsidRPr="00420493">
        <w:rPr>
          <w:sz w:val="24"/>
        </w:rPr>
        <w:t xml:space="preserve">pública </w:t>
      </w:r>
      <w:r w:rsidRPr="00420493">
        <w:rPr>
          <w:sz w:val="24"/>
        </w:rPr>
        <w:t xml:space="preserve">para la creación de valor público, con la finalidad de promover la colaboración entre las entidades de la Administración </w:t>
      </w:r>
      <w:r w:rsidR="0036187C" w:rsidRPr="00420493">
        <w:rPr>
          <w:sz w:val="24"/>
        </w:rPr>
        <w:t>pública</w:t>
      </w:r>
      <w:r w:rsidRPr="00420493">
        <w:rPr>
          <w:sz w:val="24"/>
        </w:rPr>
        <w:t>; así como la participación de ciudadanos y otros interesados para el desarrollo de la misma; asimismo, dispone que las entidades públicas adopten mecanismos o procedimientos para autenticar a las personas que accedan a los servicios digitales considerando los niveles de seguridad, y atribuye al Reniec la responsabilidad de emitir en el ámbito de sus funciones y competencias, las normas que resulten pertinentes para el otorgamiento, registro y acreditación de la identidad digital nacional;</w:t>
      </w:r>
    </w:p>
    <w:p w14:paraId="6751D0C6" w14:textId="36486C93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Que, a través del Decreto Supremo N.° 029-2021-PCM, que aprueba el Reglamento de la Ley de Gobierno Digital, se designa al Reniec como Gestor de la Identidad Digital Nacional, siendo una de sus obligaciones llevar a cabo el registro y la recopilación de los atributos inherentes de identidad digital, realizar actividades de comprobación y verificación de la identidad digital, y efectuar la vinculación de las credenciales de autenticación de la identidad digital;</w:t>
      </w:r>
    </w:p>
    <w:p w14:paraId="01549F27" w14:textId="4A99150C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Que, en el numeral 14.1 del artículo 14 del citado Reglamento se dispone la creación de la Plataforma Nacional de Identificación y Autenticación de la Identidad Digital (ID GOB.PE) que permite autenticar en línea la identidad de una persona natural que tiene asignado un código único de identificación (CUI) o un código único de extranjero (CUE); asimismo, en el numeral 14.2 del mencionado artículo se establece que el servicio de autenticación de la identidad digital para peruanos es gestionado por el Reniec, entidad gestora de la identidad digital;</w:t>
      </w:r>
    </w:p>
    <w:p w14:paraId="583257C9" w14:textId="0F694E1D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el Reniec es titular del software denominado </w:t>
      </w:r>
      <w:r w:rsidR="0036187C">
        <w:rPr>
          <w:sz w:val="24"/>
        </w:rPr>
        <w:t>"</w:t>
      </w:r>
      <w:r w:rsidRPr="00420493">
        <w:rPr>
          <w:sz w:val="24"/>
        </w:rPr>
        <w:t>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>, registrado con la Resolución N.° 01767-2019-DDA/</w:t>
      </w:r>
      <w:r w:rsidR="0036187C" w:rsidRPr="00420493">
        <w:rPr>
          <w:sz w:val="24"/>
        </w:rPr>
        <w:t>Indecopi</w:t>
      </w:r>
      <w:r w:rsidRPr="00420493">
        <w:rPr>
          <w:sz w:val="24"/>
        </w:rPr>
        <w:t xml:space="preserve">, en el Registro Nacional de Derecho de Autor y Derechos Conexos, que permite la autenticación de la identidad digital de los ciudadanos peruanos en un entorno digital aplicando diversos flujos de </w:t>
      </w:r>
      <w:r w:rsidRPr="00420493">
        <w:rPr>
          <w:sz w:val="24"/>
        </w:rPr>
        <w:lastRenderedPageBreak/>
        <w:t>autenticación haciendo uso de los certificados digitales contenidos en el Documento Nacional de Identidad Electrónico (DNIe), emitidos por la Entidad de Certificación para el Estado Peruano (ECEP) del Reniec.</w:t>
      </w:r>
    </w:p>
    <w:p w14:paraId="2E11B86C" w14:textId="194DFF5C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mediante la Resolución N.° 204-2023-Sunarp/SN, se aprueba el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 xml:space="preserve"> que permite acceder, mediante el portal institucional (www.gob.pe/sunarp), a la visualización de la información gráfica de los polígonos de los predios inscritos mediante el Visor de Mapas de la Base Gráfica Registral de la Sunarp;</w:t>
      </w:r>
    </w:p>
    <w:p w14:paraId="486F18B8" w14:textId="7A6BFFBC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el mecanismo de acceso al servicio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 xml:space="preserve"> consiste en un proceso de validación con el Reniec respecto al número y fecha de emisión del documento nacional de identidad (DNI) que ingresa el ciudadano; al cual se le suma la indicación de un código captcha (medida de seguridad) y la información brindada en los términos y condiciones de uso del servicio referida al cuidado que debe tener el usuario de no compartir con terceros la citada información personal que ingresa;</w:t>
      </w:r>
    </w:p>
    <w:p w14:paraId="43BC2BA9" w14:textId="451A17FB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con el Informe Técnico N.° 00042-2025-Sunarp/DTR, la Dirección Técnica Registral señala que se ha advertido que el ingreso manual de datos como el número del documento nacional de identidad y la fecha de emisión, no permite tener una certeza absoluta de la identidad del ciudadano que ingresa al servicio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 xml:space="preserve">; tal es así que, cualquier ciudadano podría usar indebidamente los datos de identidad de otra persona y acceder al mismo, lo cual implica que el o los titulares de predios inscritos cuyos polígonos fueron consultados, puedan verse afectados al desconocer a la persona que accedió al servicio utilizando sus datos de identidad; en ese sentido, señalan que emerge la necesidad de que los ciudadanos cuenten con un mecanismo de autenticación de mayor seguridad y eficacia, que permita validar su identidad digital para acceder al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>, garantizando el uso adecuado del mismo, así como de la información que se dispone en el registro;</w:t>
      </w:r>
    </w:p>
    <w:p w14:paraId="53D9978D" w14:textId="2ACAD10E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el Reniec y la Sunarp suscribieron un Convenio de Cooperación Interinstitucional en fecha 05 de febrero de 2020, en virtud del cual la Sunarp accede a los servicios de consultas en línea vía internet, verificación biométrica de la identidad de las personas, consultas en línea vía línea dedicada y web service de datos, sobre la identidad de las personas que obran en el Registro Único de Identificación de las Personas Naturales a cargo del Reniec, con un plazo de vigencia de tres (3) años, el cual fue renovado mediante la primera adenda de fecha 07 de junio de 2023; posteriormente, se suscribe la segunda adenda al citado Convenio, donde se incorpora el compromiso de la Sunarp de suscribir el Convenio de Colaboración Interinstitucional, a fin de acceder al servicio de la </w:t>
      </w:r>
      <w:r w:rsidR="0036187C">
        <w:rPr>
          <w:sz w:val="24"/>
        </w:rPr>
        <w:t>"</w:t>
      </w:r>
      <w:r w:rsidRPr="00420493">
        <w:rPr>
          <w:sz w:val="24"/>
        </w:rPr>
        <w:t>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 xml:space="preserve"> que brinda el Reniec, para su integración en los servicios registrales, el cual, a su vez fue suscrito con fecha 23 de enero del 2025; y con fecha 11 de abril del 2025, se suscribe una tercera adenda al Convenio de Cooperación;</w:t>
      </w:r>
    </w:p>
    <w:p w14:paraId="278B5800" w14:textId="0527CBF3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efectivizando el cumplimiento del acuerdo precedente, la Dirección Técnica Registral con el Informe Técnico de Vistos sustenta la propuesta que aprueba el uso de la </w:t>
      </w:r>
      <w:r w:rsidR="0036187C">
        <w:rPr>
          <w:sz w:val="24"/>
        </w:rPr>
        <w:t>"</w:t>
      </w:r>
      <w:r w:rsidRPr="00420493">
        <w:rPr>
          <w:sz w:val="24"/>
        </w:rPr>
        <w:t>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 xml:space="preserve"> del Reniec para validar la identidad digital de los ciudadanos peruanos que accedan al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 xml:space="preserve">, la misma </w:t>
      </w:r>
      <w:r w:rsidRPr="00420493">
        <w:rPr>
          <w:sz w:val="24"/>
        </w:rPr>
        <w:lastRenderedPageBreak/>
        <w:t xml:space="preserve">que cuenta con la opinión favorable de la Oficina de Tecnologías de la Información brindada mediante el Memorándum N.° 00708-2025-Sunarp/OTI; asimismo, considerando que el servicio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 xml:space="preserve"> constituye uno de los servicios gratuitos de gran importancia y demanda por parte de los ciudadanos, resulta necesario ampliar hasta cinco (5) la cantidad de consultas diarias por ciudadano por día que, mediante su Documento Nacional de Identidad (DNI) y conforme al proceso de identificación digital mediante la 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 xml:space="preserve"> del Reniec, acceden al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>;</w:t>
      </w:r>
    </w:p>
    <w:p w14:paraId="68885824" w14:textId="3650D8FE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Que, mediante el Informe N.° 00505-2025-Sunarp/OAJ, la Oficina de Asesoría Jurídica concluye que resulta legalmente viable emitir el acto resolutivo que apruebe el uso de la </w:t>
      </w:r>
      <w:r w:rsidR="0036187C">
        <w:rPr>
          <w:sz w:val="24"/>
        </w:rPr>
        <w:t>"</w:t>
      </w:r>
      <w:r w:rsidRPr="00420493">
        <w:rPr>
          <w:sz w:val="24"/>
        </w:rPr>
        <w:t>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 xml:space="preserve"> del Reniec, para validar la identidad digital de los ciudadanos peruanos que accedan al servicio gratuito “VISOR BGR”; asimismo, señala que el acto resolutivo corresponde sea emitido por la Superintendencia Nacional, conforme a lo dispuesto en el literal y) del artículo 11 del Texto Integrado del Reglamento de Organización y Funciones de la Sunarp;</w:t>
      </w:r>
    </w:p>
    <w:p w14:paraId="0E14787D" w14:textId="1208DAF4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De conformidad con lo dispuesto en el Texto Integrado del Reglamento de Organización y Funciones de la Superintendencia Nacional de los Registros Públicos, actualizado con la Resolución N.° 125-2024-Sunarp/SN; y, contando con el visado de la Gerencia General, la Dirección Técnica Registral, la Oficina de Tecnologías de la Información y la Oficina de Asesoría Jurídica;</w:t>
      </w:r>
    </w:p>
    <w:p w14:paraId="5469AF2F" w14:textId="57170CE3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Se resuelve:</w:t>
      </w:r>
    </w:p>
    <w:p w14:paraId="3A6A1FBE" w14:textId="5314A6AE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Artículo 1°.- </w:t>
      </w:r>
      <w:r w:rsidRPr="00420493">
        <w:rPr>
          <w:b/>
          <w:bCs/>
          <w:sz w:val="24"/>
        </w:rPr>
        <w:t xml:space="preserve">Aprobar el uso de la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Plataforma de Autenticación de la Identidad Digital Nacional ID-PERÚ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 xml:space="preserve"> del Reniec para el acceso al servicio gratuito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VISOR BGR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 xml:space="preserve">. </w:t>
      </w:r>
      <w:r w:rsidRPr="00420493">
        <w:rPr>
          <w:sz w:val="24"/>
        </w:rPr>
        <w:t xml:space="preserve">Aprobar el uso de la </w:t>
      </w:r>
      <w:r w:rsidR="0036187C">
        <w:rPr>
          <w:sz w:val="24"/>
        </w:rPr>
        <w:t>"</w:t>
      </w:r>
      <w:r w:rsidRPr="00420493">
        <w:rPr>
          <w:sz w:val="24"/>
        </w:rPr>
        <w:t>Plataforma de Autenticación de la Identidad Digital Nacional ID-PERÚ</w:t>
      </w:r>
      <w:r w:rsidR="0036187C">
        <w:rPr>
          <w:sz w:val="24"/>
        </w:rPr>
        <w:t>"</w:t>
      </w:r>
      <w:r w:rsidRPr="00420493">
        <w:rPr>
          <w:sz w:val="24"/>
        </w:rPr>
        <w:t xml:space="preserve"> del Reniec para validar la identidad digital de los ciudadanos peruanos que accedan al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>.</w:t>
      </w:r>
    </w:p>
    <w:p w14:paraId="4580646C" w14:textId="33A601B4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Artículo 2°.- </w:t>
      </w:r>
      <w:r w:rsidRPr="00420493">
        <w:rPr>
          <w:b/>
          <w:bCs/>
          <w:sz w:val="24"/>
        </w:rPr>
        <w:t xml:space="preserve">Implementación tecnológica en el servicio gratuito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VISOR BGR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 xml:space="preserve">. </w:t>
      </w:r>
      <w:r w:rsidRPr="00420493">
        <w:rPr>
          <w:sz w:val="24"/>
        </w:rPr>
        <w:t xml:space="preserve">Disponer que la Oficina de Tecnologías de la Información implemente las funcionalidades pertinentes en el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>, que permitan el uso del mecanismo aprobado en el artículo anterior.</w:t>
      </w:r>
    </w:p>
    <w:p w14:paraId="0F20A1AD" w14:textId="5C5D609A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Artículo 3°.- </w:t>
      </w:r>
      <w:r w:rsidRPr="00420493">
        <w:rPr>
          <w:b/>
          <w:bCs/>
          <w:sz w:val="24"/>
        </w:rPr>
        <w:t xml:space="preserve">Ampliación del número de consultas de partidas registrales en el servicio gratuito 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>VISOR BGR</w:t>
      </w:r>
      <w:r w:rsidR="0036187C">
        <w:rPr>
          <w:b/>
          <w:bCs/>
          <w:sz w:val="24"/>
        </w:rPr>
        <w:t>"</w:t>
      </w:r>
      <w:r w:rsidRPr="00420493">
        <w:rPr>
          <w:b/>
          <w:bCs/>
          <w:sz w:val="24"/>
        </w:rPr>
        <w:t xml:space="preserve">. </w:t>
      </w:r>
      <w:r w:rsidRPr="00420493">
        <w:rPr>
          <w:sz w:val="24"/>
        </w:rPr>
        <w:t xml:space="preserve">Disponer la ampliación del número de consultas a la base gráfica registral, hasta cinco consultas por día, respecto a cada ciudadano que, mediante su Documento Nacional de Identidad (DNI) y conforme al proceso de identificación digital, accede al servicio gratuito </w:t>
      </w:r>
      <w:r w:rsidR="0036187C">
        <w:rPr>
          <w:sz w:val="24"/>
        </w:rPr>
        <w:t>"</w:t>
      </w:r>
      <w:r w:rsidRPr="00420493">
        <w:rPr>
          <w:sz w:val="24"/>
        </w:rPr>
        <w:t>VISOR BGR</w:t>
      </w:r>
      <w:r w:rsidR="0036187C">
        <w:rPr>
          <w:sz w:val="24"/>
        </w:rPr>
        <w:t>"</w:t>
      </w:r>
      <w:r w:rsidRPr="00420493">
        <w:rPr>
          <w:sz w:val="24"/>
        </w:rPr>
        <w:t>.</w:t>
      </w:r>
    </w:p>
    <w:p w14:paraId="3D42A74A" w14:textId="312B682B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Artículo 4°.- </w:t>
      </w:r>
      <w:r w:rsidRPr="00420493">
        <w:rPr>
          <w:b/>
          <w:bCs/>
          <w:sz w:val="24"/>
        </w:rPr>
        <w:t xml:space="preserve">Entrada en vigencia. </w:t>
      </w:r>
      <w:r w:rsidRPr="00420493">
        <w:rPr>
          <w:sz w:val="24"/>
        </w:rPr>
        <w:t>La presente resolución entra en vigencia a partir del 16 de junio del 2025.</w:t>
      </w:r>
    </w:p>
    <w:p w14:paraId="596025BC" w14:textId="631A66D2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 xml:space="preserve">Artículo 5°.- </w:t>
      </w:r>
      <w:r w:rsidRPr="00420493">
        <w:rPr>
          <w:b/>
          <w:bCs/>
          <w:sz w:val="24"/>
        </w:rPr>
        <w:t xml:space="preserve">Publicación. </w:t>
      </w:r>
      <w:r w:rsidRPr="00420493">
        <w:rPr>
          <w:sz w:val="24"/>
        </w:rPr>
        <w:t xml:space="preserve">Disponer la publicación de la presente resolución en la sede digital de la Superintendencia Nacional de los Registros Públicos </w:t>
      </w:r>
      <w:r w:rsidRPr="00420493">
        <w:rPr>
          <w:sz w:val="24"/>
        </w:rPr>
        <w:lastRenderedPageBreak/>
        <w:t>(www.gob.pe/sunarp) el mismo día de su publicación en el Diario Oficial El Peruano.</w:t>
      </w:r>
    </w:p>
    <w:p w14:paraId="52944C6C" w14:textId="77777777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Regístrese, comuníquese y publíquese.</w:t>
      </w:r>
    </w:p>
    <w:p w14:paraId="499D65A9" w14:textId="50F458EC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Armando Miguel Subauste Bracesco</w:t>
      </w:r>
    </w:p>
    <w:p w14:paraId="7FE3DD27" w14:textId="77777777" w:rsidR="00420493" w:rsidRPr="00420493" w:rsidRDefault="00420493" w:rsidP="0036187C">
      <w:pPr>
        <w:spacing w:before="120"/>
        <w:rPr>
          <w:sz w:val="24"/>
        </w:rPr>
      </w:pPr>
      <w:r w:rsidRPr="00420493">
        <w:rPr>
          <w:sz w:val="24"/>
        </w:rPr>
        <w:t>Superintendente Nacional</w:t>
      </w:r>
    </w:p>
    <w:p w14:paraId="3460DFE4" w14:textId="386BC313" w:rsidR="002017D0" w:rsidRDefault="00420493" w:rsidP="0036187C">
      <w:pPr>
        <w:spacing w:before="120"/>
      </w:pPr>
      <w:r w:rsidRPr="00420493">
        <w:rPr>
          <w:sz w:val="24"/>
        </w:rPr>
        <w:t>Sunarp</w:t>
      </w:r>
    </w:p>
    <w:p w14:paraId="6C80D2A2" w14:textId="2B831315" w:rsidR="00420493" w:rsidRDefault="00420493" w:rsidP="0036187C">
      <w:pPr>
        <w:spacing w:before="120"/>
        <w:jc w:val="center"/>
      </w:pPr>
      <w:r w:rsidRPr="00420493">
        <w:t xml:space="preserve">Documento publicado en el Diario Oficial </w:t>
      </w:r>
      <w:r w:rsidR="0036187C">
        <w:t>"</w:t>
      </w:r>
      <w:r w:rsidRPr="00420493">
        <w:t>El Peruano</w:t>
      </w:r>
      <w:r w:rsidR="0036187C">
        <w:t>"</w:t>
      </w:r>
      <w:r w:rsidRPr="00420493">
        <w:t xml:space="preserve"> el 30 de mayo del 2025.</w:t>
      </w:r>
    </w:p>
    <w:sectPr w:rsidR="004204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CB079" w14:textId="77777777" w:rsidR="00313036" w:rsidRDefault="00313036" w:rsidP="00420493">
      <w:r>
        <w:separator/>
      </w:r>
    </w:p>
  </w:endnote>
  <w:endnote w:type="continuationSeparator" w:id="0">
    <w:p w14:paraId="0A165E57" w14:textId="77777777" w:rsidR="00313036" w:rsidRDefault="00313036" w:rsidP="0042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062D" w14:textId="0D21AF9D" w:rsidR="00420493" w:rsidRPr="0036187C" w:rsidRDefault="00420493" w:rsidP="0036187C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9488BA9" wp14:editId="0EDDCCA7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85BBE" w14:textId="77777777" w:rsidR="00313036" w:rsidRDefault="00313036" w:rsidP="00420493">
      <w:r>
        <w:separator/>
      </w:r>
    </w:p>
  </w:footnote>
  <w:footnote w:type="continuationSeparator" w:id="0">
    <w:p w14:paraId="061F7DB7" w14:textId="77777777" w:rsidR="00313036" w:rsidRDefault="00313036" w:rsidP="0042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C318" w14:textId="4DCF0C98" w:rsidR="00420493" w:rsidRDefault="00420493" w:rsidP="0036187C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7648D83" wp14:editId="60F90F5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93"/>
    <w:rsid w:val="0002405D"/>
    <w:rsid w:val="000526BE"/>
    <w:rsid w:val="00096CEC"/>
    <w:rsid w:val="00133291"/>
    <w:rsid w:val="002017D0"/>
    <w:rsid w:val="00313036"/>
    <w:rsid w:val="0036187C"/>
    <w:rsid w:val="003868F9"/>
    <w:rsid w:val="00420493"/>
    <w:rsid w:val="00580259"/>
    <w:rsid w:val="00615327"/>
    <w:rsid w:val="007F0EA7"/>
    <w:rsid w:val="008066EB"/>
    <w:rsid w:val="008F2267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04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49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204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49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04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49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204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49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1978</Words>
  <Characters>10879</Characters>
  <Application>Microsoft Office Word</Application>
  <DocSecurity>0</DocSecurity>
  <Lines>90</Lines>
  <Paragraphs>25</Paragraphs>
  <ScaleCrop>false</ScaleCrop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2025-05-30T14:51:00Z</dcterms:created>
  <dcterms:modified xsi:type="dcterms:W3CDTF">2025-05-30T21:50:00Z</dcterms:modified>
</cp:coreProperties>
</file>