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83139" w14:textId="5622BAED" w:rsidR="001C030B" w:rsidRPr="001C030B" w:rsidRDefault="001C030B" w:rsidP="00433ED4">
      <w:pPr>
        <w:spacing w:before="120"/>
        <w:jc w:val="center"/>
        <w:rPr>
          <w:rFonts w:cs="Arial"/>
          <w:b/>
          <w:bCs/>
          <w:sz w:val="24"/>
          <w:szCs w:val="24"/>
        </w:rPr>
      </w:pPr>
      <w:bookmarkStart w:id="0" w:name="_GoBack"/>
      <w:bookmarkEnd w:id="0"/>
      <w:r w:rsidRPr="001C030B">
        <w:rPr>
          <w:rFonts w:cs="Arial"/>
          <w:b/>
          <w:bCs/>
          <w:sz w:val="24"/>
          <w:szCs w:val="24"/>
        </w:rPr>
        <w:t>Ley N.° 32323</w:t>
      </w:r>
    </w:p>
    <w:p w14:paraId="05668F86" w14:textId="7E4AED5F" w:rsidR="001C030B" w:rsidRPr="001C030B" w:rsidRDefault="001C030B" w:rsidP="00433ED4">
      <w:pPr>
        <w:spacing w:before="120"/>
        <w:rPr>
          <w:rFonts w:cs="Arial"/>
          <w:sz w:val="24"/>
          <w:szCs w:val="24"/>
        </w:rPr>
      </w:pPr>
      <w:r w:rsidRPr="001C030B">
        <w:rPr>
          <w:rFonts w:cs="Arial"/>
          <w:sz w:val="24"/>
          <w:szCs w:val="24"/>
        </w:rPr>
        <w:t xml:space="preserve">El </w:t>
      </w:r>
      <w:r w:rsidR="00433ED4" w:rsidRPr="001C030B">
        <w:rPr>
          <w:rFonts w:cs="Arial"/>
          <w:sz w:val="24"/>
          <w:szCs w:val="24"/>
        </w:rPr>
        <w:t xml:space="preserve">presidente </w:t>
      </w:r>
      <w:r w:rsidRPr="001C030B">
        <w:rPr>
          <w:rFonts w:cs="Arial"/>
          <w:sz w:val="24"/>
          <w:szCs w:val="24"/>
        </w:rPr>
        <w:t>del Congreso de la República</w:t>
      </w:r>
    </w:p>
    <w:p w14:paraId="7A433982" w14:textId="746C1C33" w:rsidR="001C030B" w:rsidRPr="001C030B" w:rsidRDefault="001C030B" w:rsidP="00433ED4">
      <w:pPr>
        <w:spacing w:before="120"/>
        <w:rPr>
          <w:rFonts w:cs="Arial"/>
          <w:sz w:val="24"/>
          <w:szCs w:val="24"/>
        </w:rPr>
      </w:pPr>
      <w:r w:rsidRPr="001C030B">
        <w:rPr>
          <w:rFonts w:cs="Arial"/>
          <w:sz w:val="24"/>
          <w:szCs w:val="24"/>
        </w:rPr>
        <w:t>Por cuanto:</w:t>
      </w:r>
    </w:p>
    <w:p w14:paraId="7089EC60" w14:textId="05136CB2" w:rsidR="001C030B" w:rsidRPr="001C030B" w:rsidRDefault="001C030B" w:rsidP="00433ED4">
      <w:pPr>
        <w:spacing w:before="120"/>
        <w:rPr>
          <w:rFonts w:cs="Arial"/>
          <w:sz w:val="24"/>
          <w:szCs w:val="24"/>
        </w:rPr>
      </w:pPr>
      <w:r w:rsidRPr="001C030B">
        <w:rPr>
          <w:rFonts w:cs="Arial"/>
          <w:sz w:val="24"/>
          <w:szCs w:val="24"/>
        </w:rPr>
        <w:t>El Congreso de la República;</w:t>
      </w:r>
    </w:p>
    <w:p w14:paraId="46F090BF" w14:textId="38E39402" w:rsidR="001C030B" w:rsidRPr="001C030B" w:rsidRDefault="001C030B" w:rsidP="00433ED4">
      <w:pPr>
        <w:spacing w:before="120"/>
        <w:rPr>
          <w:rFonts w:cs="Arial"/>
          <w:sz w:val="24"/>
          <w:szCs w:val="24"/>
        </w:rPr>
      </w:pPr>
      <w:r w:rsidRPr="001C030B">
        <w:rPr>
          <w:rFonts w:cs="Arial"/>
          <w:sz w:val="24"/>
          <w:szCs w:val="24"/>
        </w:rPr>
        <w:t>Ha dado la ley siguiente:</w:t>
      </w:r>
    </w:p>
    <w:p w14:paraId="5F0B3F34" w14:textId="297F2368" w:rsidR="001C030B" w:rsidRPr="001C030B" w:rsidRDefault="001C030B" w:rsidP="00433ED4">
      <w:pPr>
        <w:spacing w:before="120"/>
        <w:jc w:val="center"/>
        <w:rPr>
          <w:rFonts w:cs="Arial"/>
          <w:b/>
          <w:bCs/>
          <w:sz w:val="24"/>
          <w:szCs w:val="24"/>
        </w:rPr>
      </w:pPr>
      <w:r w:rsidRPr="001C030B">
        <w:rPr>
          <w:rFonts w:cs="Arial"/>
          <w:b/>
          <w:bCs/>
          <w:sz w:val="24"/>
          <w:szCs w:val="24"/>
        </w:rPr>
        <w:t>Ley que modifica la Ley 29571, Código de Protección y Defensa del Consumidor, a fin de ampliar la prohibición de las comunicaciones spam</w:t>
      </w:r>
    </w:p>
    <w:p w14:paraId="740F1799" w14:textId="46B8B9CD" w:rsidR="001C030B" w:rsidRPr="001C030B" w:rsidRDefault="001C030B" w:rsidP="00433ED4">
      <w:pPr>
        <w:spacing w:before="120"/>
        <w:rPr>
          <w:rFonts w:cs="Arial"/>
          <w:sz w:val="24"/>
          <w:szCs w:val="24"/>
        </w:rPr>
      </w:pPr>
      <w:r w:rsidRPr="001C030B">
        <w:rPr>
          <w:rFonts w:cs="Arial"/>
          <w:sz w:val="24"/>
          <w:szCs w:val="24"/>
        </w:rPr>
        <w:t>Artículo Único.–</w:t>
      </w:r>
      <w:r w:rsidRPr="001C030B">
        <w:rPr>
          <w:rFonts w:cs="Arial"/>
          <w:b/>
          <w:bCs/>
          <w:sz w:val="24"/>
          <w:szCs w:val="24"/>
        </w:rPr>
        <w:t xml:space="preserve">Modificación del artículo 58 de la Ley 29571, Código de Protección y Defensa del Consumidor. </w:t>
      </w:r>
      <w:r w:rsidRPr="001C030B">
        <w:rPr>
          <w:rFonts w:cs="Arial"/>
          <w:sz w:val="24"/>
          <w:szCs w:val="24"/>
        </w:rPr>
        <w:t>Se modifica el párrafo 58.1 –literal e)– y se incorpora el párrafo 58.3 al artículo 58 de la Ley 29571, Código de Protección y Defensa del Consumidor, con la siguiente redacción:</w:t>
      </w:r>
    </w:p>
    <w:p w14:paraId="36DB93FB" w14:textId="4991985F" w:rsidR="001C030B" w:rsidRPr="001C030B" w:rsidRDefault="00433ED4" w:rsidP="00433ED4">
      <w:pPr>
        <w:spacing w:before="120"/>
        <w:jc w:val="center"/>
        <w:rPr>
          <w:rFonts w:cs="Arial"/>
          <w:b/>
          <w:bCs/>
          <w:sz w:val="24"/>
          <w:szCs w:val="24"/>
        </w:rPr>
      </w:pPr>
      <w:r>
        <w:rPr>
          <w:rFonts w:cs="Arial"/>
          <w:b/>
          <w:bCs/>
          <w:sz w:val="24"/>
          <w:szCs w:val="24"/>
        </w:rPr>
        <w:t>"</w:t>
      </w:r>
      <w:r w:rsidR="001C030B" w:rsidRPr="001C030B">
        <w:rPr>
          <w:rFonts w:cs="Arial"/>
          <w:b/>
          <w:bCs/>
          <w:sz w:val="24"/>
          <w:szCs w:val="24"/>
        </w:rPr>
        <w:t>Capítulo II</w:t>
      </w:r>
    </w:p>
    <w:p w14:paraId="52FDABBF" w14:textId="77777777" w:rsidR="001C030B" w:rsidRPr="001C030B" w:rsidRDefault="001C030B" w:rsidP="00433ED4">
      <w:pPr>
        <w:spacing w:before="120"/>
        <w:jc w:val="center"/>
        <w:rPr>
          <w:rFonts w:cs="Arial"/>
          <w:b/>
          <w:bCs/>
          <w:sz w:val="24"/>
          <w:szCs w:val="24"/>
        </w:rPr>
      </w:pPr>
      <w:r w:rsidRPr="001C030B">
        <w:rPr>
          <w:rFonts w:cs="Arial"/>
          <w:b/>
          <w:bCs/>
          <w:sz w:val="24"/>
          <w:szCs w:val="24"/>
        </w:rPr>
        <w:t>Métodos comerciales agresivos o engañosos</w:t>
      </w:r>
    </w:p>
    <w:p w14:paraId="252DCA43" w14:textId="718F4BE0" w:rsidR="001C030B" w:rsidRPr="001C030B" w:rsidRDefault="001C030B" w:rsidP="00433ED4">
      <w:pPr>
        <w:spacing w:before="120"/>
        <w:rPr>
          <w:rFonts w:cs="Arial"/>
          <w:b/>
          <w:bCs/>
          <w:sz w:val="24"/>
          <w:szCs w:val="24"/>
        </w:rPr>
      </w:pPr>
      <w:r w:rsidRPr="001C030B">
        <w:rPr>
          <w:rFonts w:cs="Arial"/>
          <w:sz w:val="24"/>
          <w:szCs w:val="24"/>
        </w:rPr>
        <w:t>Artículo 58.</w:t>
      </w:r>
      <w:r w:rsidR="00433ED4">
        <w:rPr>
          <w:rFonts w:cs="Arial"/>
          <w:sz w:val="24"/>
          <w:szCs w:val="24"/>
        </w:rPr>
        <w:t>-</w:t>
      </w:r>
      <w:r w:rsidRPr="001C030B">
        <w:rPr>
          <w:rFonts w:cs="Arial"/>
          <w:sz w:val="24"/>
          <w:szCs w:val="24"/>
        </w:rPr>
        <w:t xml:space="preserve"> </w:t>
      </w:r>
      <w:r w:rsidRPr="001C030B">
        <w:rPr>
          <w:rFonts w:cs="Arial"/>
          <w:b/>
          <w:bCs/>
          <w:sz w:val="24"/>
          <w:szCs w:val="24"/>
        </w:rPr>
        <w:t>Definición y alcances.</w:t>
      </w:r>
    </w:p>
    <w:p w14:paraId="0C9FEC68" w14:textId="77777777" w:rsidR="001C030B" w:rsidRPr="001C030B" w:rsidRDefault="001C030B" w:rsidP="00433ED4">
      <w:pPr>
        <w:spacing w:before="120"/>
        <w:rPr>
          <w:rFonts w:cs="Arial"/>
          <w:sz w:val="24"/>
          <w:szCs w:val="24"/>
        </w:rPr>
      </w:pPr>
      <w:r w:rsidRPr="001C030B">
        <w:rPr>
          <w:rFonts w:cs="Arial"/>
          <w:sz w:val="24"/>
          <w:szCs w:val="24"/>
        </w:rPr>
        <w:t>58.1. El derecho de todo consumidor a la protección contra los métodos comerciales agresivos o engañosos implica que los proveedores no pueden llevar a cabo prácticas que mermen de forma significativa la libertad de elección del consumidor a través de figuras como el acoso, la coacción, la influencia indebida o el dolo.</w:t>
      </w:r>
    </w:p>
    <w:p w14:paraId="33FA1DEE" w14:textId="77777777" w:rsidR="001C030B" w:rsidRPr="001C030B" w:rsidRDefault="001C030B" w:rsidP="00433ED4">
      <w:pPr>
        <w:spacing w:before="120"/>
        <w:rPr>
          <w:rFonts w:cs="Arial"/>
          <w:sz w:val="24"/>
          <w:szCs w:val="24"/>
        </w:rPr>
      </w:pPr>
      <w:r w:rsidRPr="001C030B">
        <w:rPr>
          <w:rFonts w:cs="Arial"/>
          <w:sz w:val="24"/>
          <w:szCs w:val="24"/>
        </w:rPr>
        <w:t>En tal sentido, están prohibidas todas aquellas prácticas comerciales que importen:</w:t>
      </w:r>
    </w:p>
    <w:p w14:paraId="453D4122" w14:textId="7AA422E3" w:rsidR="001C030B" w:rsidRPr="001C030B" w:rsidRDefault="001C030B" w:rsidP="00433ED4">
      <w:pPr>
        <w:spacing w:before="120"/>
        <w:rPr>
          <w:rFonts w:cs="Arial"/>
          <w:sz w:val="24"/>
          <w:szCs w:val="24"/>
        </w:rPr>
      </w:pPr>
      <w:r w:rsidRPr="001C030B">
        <w:rPr>
          <w:rFonts w:cs="Arial"/>
          <w:sz w:val="24"/>
          <w:szCs w:val="24"/>
        </w:rPr>
        <w:t>[</w:t>
      </w:r>
      <w:r w:rsidR="00433ED4">
        <w:rPr>
          <w:rFonts w:cs="Arial"/>
          <w:sz w:val="24"/>
          <w:szCs w:val="24"/>
        </w:rPr>
        <w:t>...</w:t>
      </w:r>
      <w:r w:rsidRPr="001C030B">
        <w:rPr>
          <w:rFonts w:cs="Arial"/>
          <w:sz w:val="24"/>
          <w:szCs w:val="24"/>
        </w:rPr>
        <w:t>]</w:t>
      </w:r>
      <w:r w:rsidR="00433ED4">
        <w:rPr>
          <w:rFonts w:cs="Arial"/>
          <w:sz w:val="24"/>
          <w:szCs w:val="24"/>
        </w:rPr>
        <w:t>.</w:t>
      </w:r>
    </w:p>
    <w:p w14:paraId="2F43E05B" w14:textId="77777777" w:rsidR="001C030B" w:rsidRPr="001C030B" w:rsidRDefault="001C030B" w:rsidP="00433ED4">
      <w:pPr>
        <w:spacing w:before="120"/>
        <w:rPr>
          <w:rFonts w:cs="Arial"/>
          <w:sz w:val="24"/>
          <w:szCs w:val="24"/>
        </w:rPr>
      </w:pPr>
      <w:r w:rsidRPr="001C030B">
        <w:rPr>
          <w:rFonts w:cs="Arial"/>
          <w:sz w:val="24"/>
          <w:szCs w:val="24"/>
        </w:rPr>
        <w:t>e. Emplear centros de llamada (call centers), sistemas de llamado telefónico, envío de mensajes de texto a celular o de mensajes electrónicos masivos para promover productos y servicios, así como prestar el servicio de telemercadeo a consumidor alguno, con la única excepción del envío de comunicación comercial o publicitaria a aquel consumidor que, por iniciativa propia, se contacte directamente con el proveedor y manifieste su consentimiento libre, previo, informado, expreso e inequívoco de ser contactado a través de un número telefónico, dirección electrónica o cualquier otro medio análogo de comunicación. Este consentimiento puede ser revocado, con efecto inmediato y sin expresión de causa, en cualquier momento y conforme a la normativa que rige la protección de datos personales. La vulneración a esta prohibición o a su revocatoria es considerada infracción muy grave.</w:t>
      </w:r>
    </w:p>
    <w:p w14:paraId="3657E97A" w14:textId="1A38EFA3" w:rsidR="001C030B" w:rsidRPr="001C030B" w:rsidRDefault="001C030B" w:rsidP="00433ED4">
      <w:pPr>
        <w:spacing w:before="120"/>
        <w:rPr>
          <w:rFonts w:cs="Arial"/>
          <w:sz w:val="24"/>
          <w:szCs w:val="24"/>
        </w:rPr>
      </w:pPr>
      <w:r w:rsidRPr="001C030B">
        <w:rPr>
          <w:rFonts w:cs="Arial"/>
          <w:sz w:val="24"/>
          <w:szCs w:val="24"/>
        </w:rPr>
        <w:t>[</w:t>
      </w:r>
      <w:r w:rsidR="00433ED4">
        <w:rPr>
          <w:rFonts w:cs="Arial"/>
          <w:sz w:val="24"/>
          <w:szCs w:val="24"/>
        </w:rPr>
        <w:t>...</w:t>
      </w:r>
      <w:r w:rsidRPr="001C030B">
        <w:rPr>
          <w:rFonts w:cs="Arial"/>
          <w:sz w:val="24"/>
          <w:szCs w:val="24"/>
        </w:rPr>
        <w:t>]</w:t>
      </w:r>
      <w:r w:rsidR="00433ED4">
        <w:rPr>
          <w:rFonts w:cs="Arial"/>
          <w:sz w:val="24"/>
          <w:szCs w:val="24"/>
        </w:rPr>
        <w:t>.</w:t>
      </w:r>
    </w:p>
    <w:p w14:paraId="79F2AA2C" w14:textId="6B39F715" w:rsidR="001C030B" w:rsidRPr="001C030B" w:rsidRDefault="001C030B" w:rsidP="00433ED4">
      <w:pPr>
        <w:spacing w:before="120"/>
        <w:rPr>
          <w:rFonts w:cs="Arial"/>
          <w:sz w:val="24"/>
          <w:szCs w:val="24"/>
        </w:rPr>
      </w:pPr>
      <w:r w:rsidRPr="001C030B">
        <w:rPr>
          <w:rFonts w:cs="Arial"/>
          <w:sz w:val="24"/>
          <w:szCs w:val="24"/>
        </w:rPr>
        <w:t>58.3. Para garantizar la protección del consumidor contra los métodos comerciales agresivos o engañosos, el Estado establece las reglas para el adecuado uso de envío de mensajes y llamadas en las redes de telecomunicaciones</w:t>
      </w:r>
      <w:r w:rsidR="00433ED4">
        <w:rPr>
          <w:rFonts w:cs="Arial"/>
          <w:sz w:val="24"/>
          <w:szCs w:val="24"/>
        </w:rPr>
        <w:t>"</w:t>
      </w:r>
      <w:r w:rsidRPr="001C030B">
        <w:rPr>
          <w:rFonts w:cs="Arial"/>
          <w:sz w:val="24"/>
          <w:szCs w:val="24"/>
        </w:rPr>
        <w:t>.</w:t>
      </w:r>
    </w:p>
    <w:p w14:paraId="0FB1D058" w14:textId="33957B62" w:rsidR="001C030B" w:rsidRPr="001C030B" w:rsidRDefault="001C030B" w:rsidP="00433ED4">
      <w:pPr>
        <w:spacing w:before="120"/>
        <w:jc w:val="center"/>
        <w:rPr>
          <w:rFonts w:cs="Arial"/>
          <w:b/>
          <w:bCs/>
          <w:sz w:val="24"/>
          <w:szCs w:val="24"/>
        </w:rPr>
      </w:pPr>
      <w:r w:rsidRPr="001C030B">
        <w:rPr>
          <w:rFonts w:cs="Arial"/>
          <w:b/>
          <w:bCs/>
          <w:sz w:val="24"/>
          <w:szCs w:val="24"/>
        </w:rPr>
        <w:t>Disposición Complementaria Final</w:t>
      </w:r>
    </w:p>
    <w:p w14:paraId="60E3AB19" w14:textId="29C8CB2E" w:rsidR="001C030B" w:rsidRPr="001C030B" w:rsidRDefault="001C030B" w:rsidP="00433ED4">
      <w:pPr>
        <w:spacing w:before="120"/>
        <w:rPr>
          <w:rFonts w:cs="Arial"/>
          <w:sz w:val="24"/>
          <w:szCs w:val="24"/>
        </w:rPr>
      </w:pPr>
      <w:r w:rsidRPr="001C030B">
        <w:rPr>
          <w:rFonts w:cs="Arial"/>
          <w:sz w:val="24"/>
          <w:szCs w:val="24"/>
        </w:rPr>
        <w:lastRenderedPageBreak/>
        <w:t>Única.</w:t>
      </w:r>
      <w:r w:rsidR="00433ED4">
        <w:rPr>
          <w:rFonts w:cs="Arial"/>
          <w:sz w:val="24"/>
          <w:szCs w:val="24"/>
        </w:rPr>
        <w:t>-</w:t>
      </w:r>
      <w:r w:rsidRPr="001C030B">
        <w:rPr>
          <w:rFonts w:cs="Arial"/>
          <w:sz w:val="24"/>
          <w:szCs w:val="24"/>
        </w:rPr>
        <w:t xml:space="preserve"> </w:t>
      </w:r>
      <w:r w:rsidRPr="001C030B">
        <w:rPr>
          <w:rFonts w:cs="Arial"/>
          <w:b/>
          <w:bCs/>
          <w:sz w:val="24"/>
          <w:szCs w:val="24"/>
        </w:rPr>
        <w:t xml:space="preserve">Normativa adicional. </w:t>
      </w:r>
      <w:r w:rsidRPr="001C030B">
        <w:rPr>
          <w:rFonts w:cs="Arial"/>
          <w:sz w:val="24"/>
          <w:szCs w:val="24"/>
        </w:rPr>
        <w:t>Para la aplicación del párrafo 58.3 del artículo 58 de la Ley 29571, Código de Protección y Defensa del Consumidor, incorporado por la presente ley, el Poder Ejecutivo establecerá la normativa adicional que otorgue la numeración telefónica especial a los proveedores, los métodos de seguridad y las técnicas de validación para que los usuarios puedan identificar las llamadas (spam) que reciben, así como los mecanismos de validación de la información trasmitida, en un plazo de sesenta días calendario contados a partir de la entrada en vigor de la presente ley.</w:t>
      </w:r>
    </w:p>
    <w:p w14:paraId="281D387D" w14:textId="0971A2C1" w:rsidR="001C030B" w:rsidRPr="001C030B" w:rsidRDefault="001C030B" w:rsidP="00433ED4">
      <w:pPr>
        <w:spacing w:before="120"/>
        <w:rPr>
          <w:rFonts w:cs="Arial"/>
          <w:sz w:val="24"/>
          <w:szCs w:val="24"/>
        </w:rPr>
      </w:pPr>
      <w:r w:rsidRPr="001C030B">
        <w:rPr>
          <w:rFonts w:cs="Arial"/>
          <w:sz w:val="24"/>
          <w:szCs w:val="24"/>
        </w:rPr>
        <w:t>Por tanto:</w:t>
      </w:r>
    </w:p>
    <w:p w14:paraId="7C392179" w14:textId="17EF0E5C" w:rsidR="001C030B" w:rsidRPr="001C030B" w:rsidRDefault="001C030B" w:rsidP="00433ED4">
      <w:pPr>
        <w:spacing w:before="120"/>
        <w:rPr>
          <w:rFonts w:cs="Arial"/>
          <w:sz w:val="24"/>
          <w:szCs w:val="24"/>
        </w:rPr>
      </w:pPr>
      <w:r w:rsidRPr="001C030B">
        <w:rPr>
          <w:rFonts w:cs="Arial"/>
          <w:sz w:val="24"/>
          <w:szCs w:val="24"/>
        </w:rPr>
        <w:t xml:space="preserve">Habiendo sido reconsiderada la Ley por el Congreso de la República, insistiendo en el texto aprobado </w:t>
      </w:r>
      <w:r w:rsidR="00433ED4" w:rsidRPr="001C030B">
        <w:rPr>
          <w:rFonts w:cs="Arial"/>
          <w:sz w:val="24"/>
          <w:szCs w:val="24"/>
        </w:rPr>
        <w:t xml:space="preserve">en sesión del pleno realizada el día seis de junio de dos mil veinticuatro, de conformidad con lo dispuesto </w:t>
      </w:r>
      <w:r w:rsidRPr="001C030B">
        <w:rPr>
          <w:rFonts w:cs="Arial"/>
          <w:sz w:val="24"/>
          <w:szCs w:val="24"/>
        </w:rPr>
        <w:t>por el artículo 108 de la Constitución Política del Perú, ordeno que se publique y cumpla.</w:t>
      </w:r>
    </w:p>
    <w:p w14:paraId="6ACB6C73" w14:textId="77777777" w:rsidR="001C030B" w:rsidRPr="001C030B" w:rsidRDefault="001C030B" w:rsidP="00433ED4">
      <w:pPr>
        <w:spacing w:before="120"/>
        <w:rPr>
          <w:rFonts w:cs="Arial"/>
          <w:sz w:val="24"/>
          <w:szCs w:val="24"/>
        </w:rPr>
      </w:pPr>
      <w:r w:rsidRPr="001C030B">
        <w:rPr>
          <w:rFonts w:cs="Arial"/>
          <w:sz w:val="24"/>
          <w:szCs w:val="24"/>
        </w:rPr>
        <w:t>En Lima, a los siete días del mes de mayo de dos mil veinticinco.</w:t>
      </w:r>
    </w:p>
    <w:p w14:paraId="09DD3DFA" w14:textId="301F73F0" w:rsidR="001C030B" w:rsidRPr="001C030B" w:rsidRDefault="001C030B" w:rsidP="00433ED4">
      <w:pPr>
        <w:spacing w:before="120"/>
        <w:rPr>
          <w:rFonts w:cs="Arial"/>
          <w:sz w:val="24"/>
          <w:szCs w:val="24"/>
        </w:rPr>
      </w:pPr>
      <w:r w:rsidRPr="001C030B">
        <w:rPr>
          <w:rFonts w:cs="Arial"/>
          <w:sz w:val="24"/>
          <w:szCs w:val="24"/>
        </w:rPr>
        <w:t>Eduardo Salhuana Cavides</w:t>
      </w:r>
    </w:p>
    <w:p w14:paraId="07E669CB" w14:textId="77777777" w:rsidR="001C030B" w:rsidRPr="001C030B" w:rsidRDefault="001C030B" w:rsidP="00433ED4">
      <w:pPr>
        <w:spacing w:before="120"/>
        <w:rPr>
          <w:rFonts w:cs="Arial"/>
          <w:sz w:val="24"/>
          <w:szCs w:val="24"/>
        </w:rPr>
      </w:pPr>
      <w:r w:rsidRPr="001C030B">
        <w:rPr>
          <w:rFonts w:cs="Arial"/>
          <w:sz w:val="24"/>
          <w:szCs w:val="24"/>
        </w:rPr>
        <w:t>Presidente del Congreso de la República</w:t>
      </w:r>
    </w:p>
    <w:p w14:paraId="04A20916" w14:textId="7734DAF2" w:rsidR="001C030B" w:rsidRPr="001C030B" w:rsidRDefault="001C030B" w:rsidP="00433ED4">
      <w:pPr>
        <w:spacing w:before="120"/>
        <w:rPr>
          <w:rFonts w:cs="Arial"/>
          <w:sz w:val="24"/>
          <w:szCs w:val="24"/>
        </w:rPr>
      </w:pPr>
      <w:r w:rsidRPr="001C030B">
        <w:rPr>
          <w:rFonts w:cs="Arial"/>
          <w:sz w:val="24"/>
          <w:szCs w:val="24"/>
        </w:rPr>
        <w:t>Carmen Patricia Juárez Gallegos</w:t>
      </w:r>
    </w:p>
    <w:p w14:paraId="79D6B72D" w14:textId="1B1E05E1" w:rsidR="002017D0" w:rsidRDefault="001C030B" w:rsidP="00433ED4">
      <w:pPr>
        <w:spacing w:before="120"/>
      </w:pPr>
      <w:r w:rsidRPr="001C030B">
        <w:rPr>
          <w:rFonts w:cs="Arial"/>
          <w:sz w:val="24"/>
          <w:szCs w:val="24"/>
        </w:rPr>
        <w:t>Primera Vicepresidenta del Congreso de la República</w:t>
      </w:r>
    </w:p>
    <w:p w14:paraId="0E22BD04" w14:textId="506B0B87" w:rsidR="001C030B" w:rsidRPr="00433ED4" w:rsidRDefault="001C030B" w:rsidP="00433ED4">
      <w:pPr>
        <w:spacing w:before="120"/>
        <w:jc w:val="center"/>
        <w:rPr>
          <w:rFonts w:cs="Arial"/>
        </w:rPr>
      </w:pPr>
      <w:r w:rsidRPr="00433ED4">
        <w:rPr>
          <w:rFonts w:cs="Arial"/>
        </w:rPr>
        <w:t xml:space="preserve">Documento publicado en el Diario Oficial </w:t>
      </w:r>
      <w:r w:rsidR="00433ED4">
        <w:rPr>
          <w:rFonts w:cs="Arial"/>
        </w:rPr>
        <w:t>"</w:t>
      </w:r>
      <w:r w:rsidRPr="00433ED4">
        <w:rPr>
          <w:rFonts w:cs="Arial"/>
        </w:rPr>
        <w:t>El Peruano</w:t>
      </w:r>
      <w:r w:rsidR="00433ED4">
        <w:rPr>
          <w:rFonts w:cs="Arial"/>
        </w:rPr>
        <w:t>"</w:t>
      </w:r>
      <w:r w:rsidRPr="00433ED4">
        <w:rPr>
          <w:rFonts w:cs="Arial"/>
        </w:rPr>
        <w:t xml:space="preserve"> el 9 de mayo del 2025.</w:t>
      </w:r>
    </w:p>
    <w:sectPr w:rsidR="001C030B" w:rsidRPr="00433ED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F2B96" w14:textId="77777777" w:rsidR="003075A8" w:rsidRDefault="003075A8" w:rsidP="001C030B">
      <w:r>
        <w:separator/>
      </w:r>
    </w:p>
  </w:endnote>
  <w:endnote w:type="continuationSeparator" w:id="0">
    <w:p w14:paraId="5BAADBF7" w14:textId="77777777" w:rsidR="003075A8" w:rsidRDefault="003075A8" w:rsidP="001C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B1C62" w14:textId="618B5C6B" w:rsidR="001C030B" w:rsidRPr="00433ED4" w:rsidRDefault="001C030B" w:rsidP="00433ED4">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139C616B" wp14:editId="00F3D000">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57676" w14:textId="77777777" w:rsidR="003075A8" w:rsidRDefault="003075A8" w:rsidP="001C030B">
      <w:r>
        <w:separator/>
      </w:r>
    </w:p>
  </w:footnote>
  <w:footnote w:type="continuationSeparator" w:id="0">
    <w:p w14:paraId="71607896" w14:textId="77777777" w:rsidR="003075A8" w:rsidRDefault="003075A8" w:rsidP="001C0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70BB4" w14:textId="651C0F77" w:rsidR="001C030B" w:rsidRDefault="001C030B" w:rsidP="00433ED4">
    <w:pPr>
      <w:pStyle w:val="Encabezado"/>
      <w:spacing w:after="240"/>
    </w:pPr>
    <w:r>
      <w:rPr>
        <w:noProof/>
        <w:lang w:eastAsia="es-PE"/>
      </w:rPr>
      <w:drawing>
        <wp:inline distT="0" distB="0" distL="0" distR="0" wp14:anchorId="3F7D2093" wp14:editId="265D51E9">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30B"/>
    <w:rsid w:val="0002405D"/>
    <w:rsid w:val="000526BE"/>
    <w:rsid w:val="00096CEC"/>
    <w:rsid w:val="00133291"/>
    <w:rsid w:val="001C030B"/>
    <w:rsid w:val="002017D0"/>
    <w:rsid w:val="003075A8"/>
    <w:rsid w:val="00433ED4"/>
    <w:rsid w:val="00580259"/>
    <w:rsid w:val="00615327"/>
    <w:rsid w:val="007F0EA7"/>
    <w:rsid w:val="008066EB"/>
    <w:rsid w:val="008F2267"/>
    <w:rsid w:val="00AA3083"/>
    <w:rsid w:val="00BB3261"/>
    <w:rsid w:val="00C32D53"/>
    <w:rsid w:val="00D361DE"/>
    <w:rsid w:val="00DA489C"/>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1C030B"/>
    <w:pPr>
      <w:tabs>
        <w:tab w:val="center" w:pos="4252"/>
        <w:tab w:val="right" w:pos="8504"/>
      </w:tabs>
    </w:pPr>
  </w:style>
  <w:style w:type="character" w:customStyle="1" w:styleId="EncabezadoCar">
    <w:name w:val="Encabezado Car"/>
    <w:basedOn w:val="Fuentedeprrafopredeter"/>
    <w:link w:val="Encabezado"/>
    <w:uiPriority w:val="99"/>
    <w:rsid w:val="001C030B"/>
    <w:rPr>
      <w:rFonts w:ascii="Arial" w:hAnsi="Arial"/>
      <w:sz w:val="20"/>
    </w:rPr>
  </w:style>
  <w:style w:type="paragraph" w:styleId="Piedepgina">
    <w:name w:val="footer"/>
    <w:basedOn w:val="Normal"/>
    <w:link w:val="PiedepginaCar"/>
    <w:uiPriority w:val="99"/>
    <w:unhideWhenUsed/>
    <w:rsid w:val="001C030B"/>
    <w:pPr>
      <w:tabs>
        <w:tab w:val="center" w:pos="4252"/>
        <w:tab w:val="right" w:pos="8504"/>
      </w:tabs>
    </w:pPr>
  </w:style>
  <w:style w:type="character" w:customStyle="1" w:styleId="PiedepginaCar">
    <w:name w:val="Pie de página Car"/>
    <w:basedOn w:val="Fuentedeprrafopredeter"/>
    <w:link w:val="Piedepgina"/>
    <w:uiPriority w:val="99"/>
    <w:rsid w:val="001C030B"/>
    <w:rPr>
      <w:rFonts w:ascii="Arial" w:hAnsi="Arial"/>
      <w:sz w:val="20"/>
    </w:rPr>
  </w:style>
  <w:style w:type="paragraph" w:styleId="Textodeglobo">
    <w:name w:val="Balloon Text"/>
    <w:basedOn w:val="Normal"/>
    <w:link w:val="TextodegloboCar"/>
    <w:uiPriority w:val="99"/>
    <w:semiHidden/>
    <w:unhideWhenUsed/>
    <w:rsid w:val="00433ED4"/>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E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1C030B"/>
    <w:pPr>
      <w:tabs>
        <w:tab w:val="center" w:pos="4252"/>
        <w:tab w:val="right" w:pos="8504"/>
      </w:tabs>
    </w:pPr>
  </w:style>
  <w:style w:type="character" w:customStyle="1" w:styleId="EncabezadoCar">
    <w:name w:val="Encabezado Car"/>
    <w:basedOn w:val="Fuentedeprrafopredeter"/>
    <w:link w:val="Encabezado"/>
    <w:uiPriority w:val="99"/>
    <w:rsid w:val="001C030B"/>
    <w:rPr>
      <w:rFonts w:ascii="Arial" w:hAnsi="Arial"/>
      <w:sz w:val="20"/>
    </w:rPr>
  </w:style>
  <w:style w:type="paragraph" w:styleId="Piedepgina">
    <w:name w:val="footer"/>
    <w:basedOn w:val="Normal"/>
    <w:link w:val="PiedepginaCar"/>
    <w:uiPriority w:val="99"/>
    <w:unhideWhenUsed/>
    <w:rsid w:val="001C030B"/>
    <w:pPr>
      <w:tabs>
        <w:tab w:val="center" w:pos="4252"/>
        <w:tab w:val="right" w:pos="8504"/>
      </w:tabs>
    </w:pPr>
  </w:style>
  <w:style w:type="character" w:customStyle="1" w:styleId="PiedepginaCar">
    <w:name w:val="Pie de página Car"/>
    <w:basedOn w:val="Fuentedeprrafopredeter"/>
    <w:link w:val="Piedepgina"/>
    <w:uiPriority w:val="99"/>
    <w:rsid w:val="001C030B"/>
    <w:rPr>
      <w:rFonts w:ascii="Arial" w:hAnsi="Arial"/>
      <w:sz w:val="20"/>
    </w:rPr>
  </w:style>
  <w:style w:type="paragraph" w:styleId="Textodeglobo">
    <w:name w:val="Balloon Text"/>
    <w:basedOn w:val="Normal"/>
    <w:link w:val="TextodegloboCar"/>
    <w:uiPriority w:val="99"/>
    <w:semiHidden/>
    <w:unhideWhenUsed/>
    <w:rsid w:val="00433ED4"/>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E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2877</Characters>
  <Application>Microsoft Office Word</Application>
  <DocSecurity>0</DocSecurity>
  <Lines>23</Lines>
  <Paragraphs>6</Paragraphs>
  <ScaleCrop>false</ScaleCrop>
  <Company/>
  <LinksUpToDate>false</LinksUpToDate>
  <CharactersWithSpaces>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2025-05-09T15:45:00Z</dcterms:created>
  <dcterms:modified xsi:type="dcterms:W3CDTF">2025-05-12T17:33:00Z</dcterms:modified>
</cp:coreProperties>
</file>