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CA4E8E" w14:textId="77777777" w:rsidR="0009785F" w:rsidRPr="0009785F" w:rsidRDefault="0009785F" w:rsidP="00332338">
      <w:pPr>
        <w:pStyle w:val="Default"/>
        <w:spacing w:before="120"/>
        <w:jc w:val="center"/>
        <w:rPr>
          <w:b/>
          <w:bCs/>
          <w:color w:val="auto"/>
        </w:rPr>
      </w:pPr>
      <w:r w:rsidRPr="0009785F">
        <w:rPr>
          <w:b/>
          <w:bCs/>
          <w:color w:val="auto"/>
        </w:rPr>
        <w:t>Tribunal Registral</w:t>
      </w:r>
    </w:p>
    <w:p w14:paraId="413476AD" w14:textId="77777777" w:rsidR="0009785F" w:rsidRPr="0009785F" w:rsidRDefault="0009785F" w:rsidP="00332338">
      <w:pPr>
        <w:pStyle w:val="Default"/>
        <w:spacing w:before="120"/>
        <w:jc w:val="center"/>
        <w:rPr>
          <w:b/>
          <w:bCs/>
          <w:color w:val="auto"/>
        </w:rPr>
      </w:pPr>
      <w:r w:rsidRPr="0009785F">
        <w:rPr>
          <w:b/>
          <w:bCs/>
          <w:color w:val="auto"/>
        </w:rPr>
        <w:t>Resolución N.° 0845-2024-Sunarp-T</w:t>
      </w:r>
      <w:bookmarkStart w:id="0" w:name="_GoBack"/>
      <w:bookmarkEnd w:id="0"/>
      <w:r w:rsidRPr="0009785F">
        <w:rPr>
          <w:b/>
          <w:bCs/>
          <w:color w:val="auto"/>
        </w:rPr>
        <w:t>R (NSIR-T)</w:t>
      </w:r>
    </w:p>
    <w:p w14:paraId="14B9A391" w14:textId="77777777" w:rsidR="0009785F" w:rsidRPr="0009785F" w:rsidRDefault="0009785F" w:rsidP="00332338">
      <w:pPr>
        <w:pStyle w:val="Default"/>
        <w:spacing w:before="120"/>
        <w:jc w:val="right"/>
        <w:rPr>
          <w:b/>
          <w:bCs/>
          <w:color w:val="auto"/>
        </w:rPr>
      </w:pPr>
      <w:r w:rsidRPr="0009785F">
        <w:rPr>
          <w:b/>
          <w:bCs/>
          <w:color w:val="auto"/>
        </w:rPr>
        <w:t>Lima, 29 de febrero del 2024</w:t>
      </w:r>
    </w:p>
    <w:p w14:paraId="30C4A78D" w14:textId="227B9B96" w:rsidR="0009785F" w:rsidRPr="0009785F" w:rsidRDefault="0009785F" w:rsidP="00332338">
      <w:pPr>
        <w:pStyle w:val="Default"/>
        <w:tabs>
          <w:tab w:val="left" w:pos="1134"/>
        </w:tabs>
        <w:spacing w:before="120"/>
        <w:jc w:val="both"/>
        <w:rPr>
          <w:b/>
          <w:bCs/>
          <w:color w:val="auto"/>
        </w:rPr>
      </w:pPr>
      <w:r w:rsidRPr="0009785F">
        <w:rPr>
          <w:b/>
          <w:bCs/>
          <w:color w:val="auto"/>
        </w:rPr>
        <w:t>Apelante:</w:t>
      </w:r>
      <w:r>
        <w:rPr>
          <w:b/>
          <w:bCs/>
          <w:color w:val="auto"/>
        </w:rPr>
        <w:t xml:space="preserve"> </w:t>
      </w:r>
      <w:r w:rsidRPr="0009785F">
        <w:rPr>
          <w:b/>
          <w:bCs/>
          <w:color w:val="auto"/>
        </w:rPr>
        <w:t>Wilmer Tello Cortegana.</w:t>
      </w:r>
    </w:p>
    <w:p w14:paraId="035C96B5" w14:textId="655FD86A" w:rsidR="0009785F" w:rsidRPr="0009785F" w:rsidRDefault="0009785F" w:rsidP="00332338">
      <w:pPr>
        <w:pStyle w:val="Default"/>
        <w:tabs>
          <w:tab w:val="left" w:pos="1134"/>
        </w:tabs>
        <w:spacing w:before="120"/>
        <w:jc w:val="both"/>
        <w:rPr>
          <w:color w:val="auto"/>
        </w:rPr>
      </w:pPr>
      <w:r w:rsidRPr="0009785F">
        <w:rPr>
          <w:b/>
          <w:bCs/>
          <w:color w:val="auto"/>
        </w:rPr>
        <w:t>Título:</w:t>
      </w:r>
      <w:r>
        <w:rPr>
          <w:b/>
          <w:bCs/>
          <w:color w:val="auto"/>
        </w:rPr>
        <w:t xml:space="preserve"> </w:t>
      </w:r>
      <w:r w:rsidRPr="0009785F">
        <w:rPr>
          <w:color w:val="auto"/>
        </w:rPr>
        <w:t>N.° 22991 del 04/01/2024.</w:t>
      </w:r>
    </w:p>
    <w:p w14:paraId="120E4000" w14:textId="3CC61983" w:rsidR="0009785F" w:rsidRPr="0009785F" w:rsidRDefault="0009785F" w:rsidP="00332338">
      <w:pPr>
        <w:pStyle w:val="Default"/>
        <w:tabs>
          <w:tab w:val="left" w:pos="1134"/>
        </w:tabs>
        <w:spacing w:before="120"/>
        <w:jc w:val="both"/>
        <w:rPr>
          <w:color w:val="auto"/>
        </w:rPr>
      </w:pPr>
      <w:r w:rsidRPr="0009785F">
        <w:rPr>
          <w:b/>
          <w:bCs/>
          <w:color w:val="auto"/>
        </w:rPr>
        <w:t>Recurso:</w:t>
      </w:r>
      <w:r>
        <w:rPr>
          <w:b/>
          <w:bCs/>
          <w:color w:val="auto"/>
        </w:rPr>
        <w:t xml:space="preserve"> </w:t>
      </w:r>
      <w:r w:rsidRPr="0009785F">
        <w:rPr>
          <w:color w:val="auto"/>
        </w:rPr>
        <w:t>H.T.D. N.° 4451 del 09/02/2024.</w:t>
      </w:r>
    </w:p>
    <w:p w14:paraId="47B9F3DA" w14:textId="65059655" w:rsidR="0009785F" w:rsidRPr="0009785F" w:rsidRDefault="0009785F" w:rsidP="00332338">
      <w:pPr>
        <w:pStyle w:val="Default"/>
        <w:tabs>
          <w:tab w:val="left" w:pos="1134"/>
        </w:tabs>
        <w:spacing w:before="120"/>
        <w:jc w:val="both"/>
        <w:rPr>
          <w:color w:val="auto"/>
        </w:rPr>
      </w:pPr>
      <w:r w:rsidRPr="0009785F">
        <w:rPr>
          <w:b/>
          <w:bCs/>
          <w:color w:val="auto"/>
        </w:rPr>
        <w:t>Registro:</w:t>
      </w:r>
      <w:r>
        <w:rPr>
          <w:b/>
          <w:bCs/>
          <w:color w:val="auto"/>
        </w:rPr>
        <w:t xml:space="preserve"> </w:t>
      </w:r>
      <w:r w:rsidRPr="0009785F">
        <w:rPr>
          <w:color w:val="auto"/>
        </w:rPr>
        <w:t>Personas Jurídicas de Cajamarca.</w:t>
      </w:r>
    </w:p>
    <w:p w14:paraId="43CCC058" w14:textId="1DC12706" w:rsidR="0009785F" w:rsidRPr="0009785F" w:rsidRDefault="0009785F" w:rsidP="00332338">
      <w:pPr>
        <w:pStyle w:val="Default"/>
        <w:tabs>
          <w:tab w:val="left" w:pos="1134"/>
        </w:tabs>
        <w:spacing w:before="120"/>
        <w:jc w:val="both"/>
        <w:rPr>
          <w:color w:val="auto"/>
        </w:rPr>
      </w:pPr>
      <w:r w:rsidRPr="0009785F">
        <w:rPr>
          <w:b/>
          <w:bCs/>
          <w:color w:val="auto"/>
        </w:rPr>
        <w:t>Acto:</w:t>
      </w:r>
      <w:r>
        <w:rPr>
          <w:b/>
          <w:bCs/>
          <w:color w:val="auto"/>
        </w:rPr>
        <w:t xml:space="preserve"> </w:t>
      </w:r>
      <w:r w:rsidRPr="0009785F">
        <w:rPr>
          <w:color w:val="auto"/>
        </w:rPr>
        <w:t>Otorgamiento de poder.</w:t>
      </w:r>
    </w:p>
    <w:p w14:paraId="20FBDB1E" w14:textId="77777777" w:rsidR="0009785F" w:rsidRPr="0009785F" w:rsidRDefault="0009785F" w:rsidP="00332338">
      <w:pPr>
        <w:pStyle w:val="Default"/>
        <w:spacing w:before="120"/>
        <w:jc w:val="both"/>
        <w:rPr>
          <w:b/>
          <w:bCs/>
          <w:color w:val="auto"/>
        </w:rPr>
      </w:pPr>
      <w:r w:rsidRPr="0009785F">
        <w:rPr>
          <w:b/>
          <w:bCs/>
          <w:color w:val="auto"/>
        </w:rPr>
        <w:t>Sumilla:</w:t>
      </w:r>
    </w:p>
    <w:p w14:paraId="7911DDFE" w14:textId="77777777" w:rsidR="0009785F" w:rsidRPr="0009785F" w:rsidRDefault="0009785F" w:rsidP="00332338">
      <w:pPr>
        <w:pStyle w:val="Default"/>
        <w:spacing w:before="120"/>
        <w:jc w:val="both"/>
        <w:rPr>
          <w:b/>
          <w:bCs/>
          <w:color w:val="auto"/>
        </w:rPr>
      </w:pPr>
      <w:r w:rsidRPr="0009785F">
        <w:rPr>
          <w:b/>
          <w:bCs/>
          <w:color w:val="auto"/>
        </w:rPr>
        <w:t>Otorgamiento de poder para disposición de terrenos comunales</w:t>
      </w:r>
    </w:p>
    <w:p w14:paraId="3D7E6025" w14:textId="77777777" w:rsidR="0009785F" w:rsidRPr="0009785F" w:rsidRDefault="0009785F" w:rsidP="00332338">
      <w:pPr>
        <w:pStyle w:val="Default"/>
        <w:spacing w:before="120"/>
        <w:jc w:val="both"/>
        <w:rPr>
          <w:color w:val="auto"/>
        </w:rPr>
      </w:pPr>
      <w:r w:rsidRPr="0009785F">
        <w:rPr>
          <w:color w:val="auto"/>
        </w:rPr>
        <w:t>Cuando la Directiva N.° 10-2013-Sunarp-SN exige que el otorgamiento de facultades para actos de disposición o gravamen sobre el territorio comunal se adopte con precisión de las características físicas del predio a disponer o gravar, está requiriendo que se consignen cuando menos los elementos suficientes que permitan la identificación del mismo como son el área y ubicación referencial.</w:t>
      </w:r>
    </w:p>
    <w:p w14:paraId="343B437C" w14:textId="77777777" w:rsidR="0009785F" w:rsidRPr="0009785F" w:rsidRDefault="0009785F" w:rsidP="00332338">
      <w:pPr>
        <w:pStyle w:val="Default"/>
        <w:spacing w:before="120"/>
        <w:jc w:val="both"/>
        <w:rPr>
          <w:b/>
          <w:bCs/>
          <w:color w:val="auto"/>
        </w:rPr>
      </w:pPr>
      <w:r w:rsidRPr="0009785F">
        <w:rPr>
          <w:b/>
          <w:bCs/>
          <w:color w:val="auto"/>
        </w:rPr>
        <w:t>I. Acto cuya inscripción se solicita y documentación presentada</w:t>
      </w:r>
    </w:p>
    <w:p w14:paraId="6098AFEE" w14:textId="77777777" w:rsidR="0009785F" w:rsidRPr="0009785F" w:rsidRDefault="0009785F" w:rsidP="00332338">
      <w:pPr>
        <w:pStyle w:val="Default"/>
        <w:spacing w:before="120"/>
        <w:jc w:val="both"/>
        <w:rPr>
          <w:color w:val="auto"/>
        </w:rPr>
      </w:pPr>
      <w:r w:rsidRPr="0009785F">
        <w:rPr>
          <w:color w:val="auto"/>
        </w:rPr>
        <w:t>Mediante el título venido en grado de apelación se solicita la inscripción del otorgamiento de poder para disposición de terrenos comunales de la Comunidad Campesina Toled inscrita en la ficha N.° 32 que continúa en la partida electrónica N.° 02007486 del Registro de Personas Jurídicas de Cajamarca.</w:t>
      </w:r>
    </w:p>
    <w:p w14:paraId="5CA22D07" w14:textId="77777777" w:rsidR="0009785F" w:rsidRPr="0009785F" w:rsidRDefault="0009785F" w:rsidP="00332338">
      <w:pPr>
        <w:pStyle w:val="Default"/>
        <w:spacing w:before="120"/>
        <w:jc w:val="both"/>
        <w:rPr>
          <w:color w:val="auto"/>
        </w:rPr>
      </w:pPr>
      <w:r w:rsidRPr="0009785F">
        <w:rPr>
          <w:color w:val="auto"/>
        </w:rPr>
        <w:t>Para tal efecto, se adjunta los siguientes documentos:</w:t>
      </w:r>
    </w:p>
    <w:p w14:paraId="54A65124" w14:textId="77777777" w:rsidR="0009785F" w:rsidRPr="0009785F" w:rsidRDefault="0009785F" w:rsidP="00332338">
      <w:pPr>
        <w:spacing w:before="120"/>
        <w:rPr>
          <w:rFonts w:cs="Arial"/>
          <w:sz w:val="24"/>
          <w:szCs w:val="24"/>
        </w:rPr>
      </w:pPr>
      <w:r w:rsidRPr="0009785F">
        <w:rPr>
          <w:rFonts w:cs="Arial"/>
          <w:sz w:val="24"/>
          <w:szCs w:val="24"/>
        </w:rPr>
        <w:t>- Copia certificada del acta de Asamblea General Extraordinaria de fecha 09/04/2023 expedida por notario de Cajamarca Flaminio G. Vigo Saldaña.</w:t>
      </w:r>
    </w:p>
    <w:p w14:paraId="0B83A5A0" w14:textId="77777777" w:rsidR="0009785F" w:rsidRPr="0009785F" w:rsidRDefault="0009785F" w:rsidP="00332338">
      <w:pPr>
        <w:pStyle w:val="Default"/>
        <w:spacing w:before="120"/>
        <w:jc w:val="both"/>
        <w:rPr>
          <w:color w:val="auto"/>
        </w:rPr>
      </w:pPr>
      <w:r w:rsidRPr="0009785F">
        <w:rPr>
          <w:color w:val="auto"/>
        </w:rPr>
        <w:t>- Declaración jurada de convocatoria y quórum de la Asamblea General Extraordinaria de fecha 09/04/2023 suscritas por Marco Antonio Plasencia Uceda, con firma certificada el 09/04/2023 por notario de Cajamarca Flaminio G. Vigo Saldaña.</w:t>
      </w:r>
    </w:p>
    <w:p w14:paraId="5475B2E8" w14:textId="77777777" w:rsidR="0009785F" w:rsidRPr="0009785F" w:rsidRDefault="0009785F" w:rsidP="00332338">
      <w:pPr>
        <w:pStyle w:val="Default"/>
        <w:spacing w:before="120"/>
        <w:jc w:val="both"/>
        <w:rPr>
          <w:b/>
          <w:bCs/>
          <w:color w:val="auto"/>
        </w:rPr>
      </w:pPr>
      <w:r w:rsidRPr="0009785F">
        <w:rPr>
          <w:b/>
          <w:bCs/>
          <w:color w:val="auto"/>
        </w:rPr>
        <w:t>II. Decisión impugnada</w:t>
      </w:r>
    </w:p>
    <w:p w14:paraId="425D4892" w14:textId="77777777" w:rsidR="0009785F" w:rsidRPr="0009785F" w:rsidRDefault="0009785F" w:rsidP="00332338">
      <w:pPr>
        <w:pStyle w:val="Default"/>
        <w:spacing w:before="120"/>
        <w:jc w:val="both"/>
        <w:rPr>
          <w:color w:val="auto"/>
        </w:rPr>
      </w:pPr>
      <w:r w:rsidRPr="0009785F">
        <w:rPr>
          <w:color w:val="auto"/>
        </w:rPr>
        <w:t>La registradora pública (e) del Registro de Personas Jurídicas de Cajamarca Yanet Roselt Sánchez Bustamante denegó la inscripción solicitada formulando observación en los términos siguientes:</w:t>
      </w:r>
    </w:p>
    <w:p w14:paraId="0FB5DE29" w14:textId="77777777" w:rsidR="0009785F" w:rsidRPr="00332338" w:rsidRDefault="0009785F" w:rsidP="00332338">
      <w:pPr>
        <w:pStyle w:val="Default"/>
        <w:spacing w:before="120"/>
        <w:jc w:val="both"/>
        <w:rPr>
          <w:b/>
          <w:color w:val="auto"/>
        </w:rPr>
      </w:pPr>
      <w:r w:rsidRPr="00332338">
        <w:rPr>
          <w:b/>
          <w:color w:val="auto"/>
        </w:rPr>
        <w:t>I. Solicitud</w:t>
      </w:r>
    </w:p>
    <w:p w14:paraId="4F188B8F" w14:textId="77777777" w:rsidR="0009785F" w:rsidRPr="0009785F" w:rsidRDefault="0009785F" w:rsidP="00332338">
      <w:pPr>
        <w:pStyle w:val="Default"/>
        <w:spacing w:before="120"/>
        <w:jc w:val="both"/>
        <w:rPr>
          <w:color w:val="auto"/>
        </w:rPr>
      </w:pPr>
      <w:r w:rsidRPr="0009785F">
        <w:rPr>
          <w:color w:val="auto"/>
        </w:rPr>
        <w:t xml:space="preserve">Mediante la presente rogatoria solicita inscribir otorgamiento de poder a favor </w:t>
      </w:r>
      <w:proofErr w:type="gramStart"/>
      <w:r w:rsidRPr="0009785F">
        <w:rPr>
          <w:color w:val="auto"/>
        </w:rPr>
        <w:t>de</w:t>
      </w:r>
      <w:proofErr w:type="gramEnd"/>
      <w:r w:rsidRPr="0009785F">
        <w:rPr>
          <w:color w:val="auto"/>
        </w:rPr>
        <w:t xml:space="preserve"> Marcos Antonio Plasencia Uceda y Máximo Elvis Díaz Uceda que otorga la Comunidad Campesina Toled inscrita en la partida 02007486, habiéndose presentado para tal efecto, copia certificada del acta de asamblea fecha 09/04/2023 con su constancia de convocatoria y quórum.</w:t>
      </w:r>
    </w:p>
    <w:p w14:paraId="7BAEBD6B" w14:textId="77777777" w:rsidR="0009785F" w:rsidRPr="00332338" w:rsidRDefault="0009785F" w:rsidP="00332338">
      <w:pPr>
        <w:pStyle w:val="Default"/>
        <w:spacing w:before="120"/>
        <w:jc w:val="both"/>
        <w:rPr>
          <w:b/>
          <w:color w:val="auto"/>
        </w:rPr>
      </w:pPr>
      <w:r w:rsidRPr="00332338">
        <w:rPr>
          <w:b/>
          <w:color w:val="auto"/>
        </w:rPr>
        <w:t>II. Razones denegatorias a subsanar</w:t>
      </w:r>
    </w:p>
    <w:p w14:paraId="79A5B538" w14:textId="77777777" w:rsidR="0009785F" w:rsidRPr="0009785F" w:rsidRDefault="0009785F" w:rsidP="00332338">
      <w:pPr>
        <w:pStyle w:val="Default"/>
        <w:spacing w:before="120"/>
        <w:jc w:val="both"/>
        <w:rPr>
          <w:color w:val="auto"/>
        </w:rPr>
      </w:pPr>
      <w:r w:rsidRPr="0009785F">
        <w:rPr>
          <w:color w:val="auto"/>
          <w:u w:val="single"/>
        </w:rPr>
        <w:lastRenderedPageBreak/>
        <w:t>Disposición de territorio comunal</w:t>
      </w:r>
      <w:r w:rsidRPr="0009785F">
        <w:rPr>
          <w:color w:val="auto"/>
        </w:rPr>
        <w:t>:</w:t>
      </w:r>
    </w:p>
    <w:p w14:paraId="65260F37" w14:textId="77777777" w:rsidR="0009785F" w:rsidRPr="0009785F" w:rsidRDefault="0009785F" w:rsidP="00332338">
      <w:pPr>
        <w:pStyle w:val="Default"/>
        <w:spacing w:before="120"/>
        <w:jc w:val="both"/>
        <w:rPr>
          <w:color w:val="auto"/>
        </w:rPr>
      </w:pPr>
      <w:r w:rsidRPr="0009785F">
        <w:rPr>
          <w:color w:val="auto"/>
        </w:rPr>
        <w:t>Del reingreso del presente título el usuario adjunta entre otro, documento formulando reconsideración respecto al numeral 2.1 de la esquela de fecha 10/01/2024, sobre disposición de territorio comunal, precisando que el predio está debidamente identificado por encontrarse inscrito en la partida 02112201 del cual se independizarán 8 lotes y que sólo cuentan con un área aproximada de los lotes puesto que la comunidad ha tomado el acuerdo de contratar a un profesional para que elabore la documentación y a la fecha no cuentan con la información.</w:t>
      </w:r>
    </w:p>
    <w:p w14:paraId="0022A426" w14:textId="77777777" w:rsidR="0009785F" w:rsidRPr="0009785F" w:rsidRDefault="0009785F" w:rsidP="00332338">
      <w:pPr>
        <w:pStyle w:val="Default"/>
        <w:spacing w:before="120"/>
        <w:jc w:val="both"/>
        <w:rPr>
          <w:color w:val="auto"/>
        </w:rPr>
      </w:pPr>
      <w:r w:rsidRPr="0009785F">
        <w:rPr>
          <w:color w:val="auto"/>
        </w:rPr>
        <w:t>Al respecto, cabe citar el acuerdo plenario aprobado en el CXXXI Pleno Registral, celebrado los días 6 y 7 de agosto del 2015, cuyo tenor expresa lo siguiente:</w:t>
      </w:r>
    </w:p>
    <w:p w14:paraId="4C000040" w14:textId="77777777" w:rsidR="0009785F" w:rsidRPr="0009785F" w:rsidRDefault="0009785F" w:rsidP="00332338">
      <w:pPr>
        <w:pStyle w:val="Default"/>
        <w:spacing w:before="120"/>
        <w:jc w:val="both"/>
        <w:rPr>
          <w:color w:val="auto"/>
        </w:rPr>
      </w:pPr>
      <w:r w:rsidRPr="0009785F">
        <w:rPr>
          <w:color w:val="auto"/>
        </w:rPr>
        <w:t>Otorgamiento de poder para disposición de terrenos comunales</w:t>
      </w:r>
    </w:p>
    <w:p w14:paraId="371664CE" w14:textId="77777777" w:rsidR="0009785F" w:rsidRPr="0009785F" w:rsidRDefault="0009785F" w:rsidP="00332338">
      <w:pPr>
        <w:pStyle w:val="Default"/>
        <w:spacing w:before="120"/>
        <w:jc w:val="both"/>
        <w:rPr>
          <w:color w:val="auto"/>
        </w:rPr>
      </w:pPr>
      <w:r w:rsidRPr="0009785F">
        <w:rPr>
          <w:color w:val="auto"/>
        </w:rPr>
        <w:t>Cuando la Directiva N.° 10-2013-Sunarp-SN exige que el otorgamiento de facultades para actos de disposición o gravamen sobre el territorio comunal se adopte con precisión de las características físicas del predio a disponer o gravar, está requiriendo que se consignen cuando menos los elementos suficientes que permitan la identificación del mismo como son el área y ubicación referencial.</w:t>
      </w:r>
    </w:p>
    <w:p w14:paraId="7125F49F" w14:textId="77777777" w:rsidR="0009785F" w:rsidRPr="0009785F" w:rsidRDefault="0009785F" w:rsidP="00332338">
      <w:pPr>
        <w:pStyle w:val="Default"/>
        <w:spacing w:before="120"/>
        <w:jc w:val="both"/>
        <w:rPr>
          <w:color w:val="auto"/>
        </w:rPr>
      </w:pPr>
      <w:r w:rsidRPr="0009785F">
        <w:rPr>
          <w:color w:val="auto"/>
        </w:rPr>
        <w:t>Por su parte, el numeral 5.8 de la Directiva N.° 10-2013-Sunarp-SN establece:</w:t>
      </w:r>
    </w:p>
    <w:p w14:paraId="58266408" w14:textId="287A6FBD" w:rsidR="0009785F" w:rsidRPr="0009785F" w:rsidRDefault="00332338" w:rsidP="00332338">
      <w:pPr>
        <w:spacing w:before="120"/>
        <w:rPr>
          <w:rFonts w:cs="Arial"/>
          <w:sz w:val="24"/>
          <w:szCs w:val="24"/>
        </w:rPr>
      </w:pPr>
      <w:r>
        <w:rPr>
          <w:rFonts w:cs="Arial"/>
          <w:sz w:val="24"/>
          <w:szCs w:val="24"/>
        </w:rPr>
        <w:t xml:space="preserve">"... </w:t>
      </w:r>
      <w:r w:rsidR="0009785F" w:rsidRPr="0009785F">
        <w:rPr>
          <w:rFonts w:cs="Arial"/>
          <w:sz w:val="24"/>
          <w:szCs w:val="24"/>
        </w:rPr>
        <w:t>El otorgamiento de facultades para actos de disposición o gravamen debe adoptarse con precisión de las características físicas del o los predios a disponer o gravar, salvo disposición distinta del estatuto de la Comunidad</w:t>
      </w:r>
      <w:r>
        <w:rPr>
          <w:rFonts w:cs="Arial"/>
          <w:sz w:val="24"/>
          <w:szCs w:val="24"/>
        </w:rPr>
        <w:t>"</w:t>
      </w:r>
      <w:r w:rsidR="0009785F" w:rsidRPr="0009785F">
        <w:rPr>
          <w:rFonts w:cs="Arial"/>
          <w:sz w:val="24"/>
          <w:szCs w:val="24"/>
        </w:rPr>
        <w:t>.</w:t>
      </w:r>
    </w:p>
    <w:p w14:paraId="53D872E1" w14:textId="7C1D742F" w:rsidR="0009785F" w:rsidRPr="0009785F" w:rsidRDefault="0009785F" w:rsidP="00332338">
      <w:pPr>
        <w:pStyle w:val="Default"/>
        <w:spacing w:before="120"/>
        <w:jc w:val="both"/>
        <w:rPr>
          <w:color w:val="auto"/>
        </w:rPr>
      </w:pPr>
      <w:r w:rsidRPr="0009785F">
        <w:rPr>
          <w:color w:val="auto"/>
        </w:rPr>
        <w:t>De la revisión del acta de fecha 04/04/2023, se verifica que el contenido del poder versa sobre disposición del territorio comunal de 08 sub lotes indicando la denominación de cada lote y área aproximada; por otro lado, si bien precisa el número de partida registral de la cual se independizarán los 8 lotes, la partida tiene una extensión de 2</w:t>
      </w:r>
      <w:r w:rsidR="00332338">
        <w:rPr>
          <w:color w:val="auto"/>
        </w:rPr>
        <w:t xml:space="preserve"> </w:t>
      </w:r>
      <w:r w:rsidRPr="0009785F">
        <w:rPr>
          <w:color w:val="auto"/>
        </w:rPr>
        <w:t>272.50 há, no teniendo elementos que nos permitan determinar la ubicación de los mencionados lotes.</w:t>
      </w:r>
    </w:p>
    <w:p w14:paraId="31BBF1C3" w14:textId="77777777" w:rsidR="0009785F" w:rsidRPr="0009785F" w:rsidRDefault="0009785F" w:rsidP="00332338">
      <w:pPr>
        <w:pStyle w:val="Default"/>
        <w:spacing w:before="120"/>
        <w:jc w:val="both"/>
        <w:rPr>
          <w:color w:val="auto"/>
        </w:rPr>
      </w:pPr>
      <w:r w:rsidRPr="0009785F">
        <w:rPr>
          <w:color w:val="auto"/>
        </w:rPr>
        <w:t>En consecuencia, para disponer del territorio comunal es necesario precisar las características físicas del predio, cuando menos área y ubicación exacta (puede ser linderos, medidas perimétricas u otros) que nos permitan publicitar de manera precisa cada lote a disponer. Se solicita presentar acta de reapertura y/o aclaratoria con sus constancias de convocatoria y quórum con autorización al presentante y en el PSI.</w:t>
      </w:r>
    </w:p>
    <w:p w14:paraId="12369F62" w14:textId="77777777" w:rsidR="0009785F" w:rsidRPr="0009785F" w:rsidRDefault="0009785F" w:rsidP="00332338">
      <w:pPr>
        <w:pStyle w:val="Default"/>
        <w:spacing w:before="120"/>
        <w:jc w:val="both"/>
        <w:rPr>
          <w:b/>
          <w:bCs/>
          <w:color w:val="auto"/>
        </w:rPr>
      </w:pPr>
      <w:r w:rsidRPr="0009785F">
        <w:rPr>
          <w:b/>
          <w:bCs/>
          <w:color w:val="auto"/>
        </w:rPr>
        <w:t>III. Fundamentos de la apelación</w:t>
      </w:r>
    </w:p>
    <w:p w14:paraId="548D2866" w14:textId="77777777" w:rsidR="0009785F" w:rsidRPr="0009785F" w:rsidRDefault="0009785F" w:rsidP="00332338">
      <w:pPr>
        <w:pStyle w:val="Default"/>
        <w:spacing w:before="120"/>
        <w:jc w:val="both"/>
        <w:rPr>
          <w:color w:val="auto"/>
        </w:rPr>
      </w:pPr>
      <w:r w:rsidRPr="0009785F">
        <w:rPr>
          <w:color w:val="auto"/>
        </w:rPr>
        <w:t>El recurrente señala, entre otros, los siguientes fundamentos:</w:t>
      </w:r>
    </w:p>
    <w:p w14:paraId="4653BAEE" w14:textId="77777777" w:rsidR="0009785F" w:rsidRPr="0009785F" w:rsidRDefault="0009785F" w:rsidP="00332338">
      <w:pPr>
        <w:pStyle w:val="Default"/>
        <w:spacing w:before="120"/>
        <w:jc w:val="both"/>
        <w:rPr>
          <w:color w:val="auto"/>
        </w:rPr>
      </w:pPr>
      <w:r w:rsidRPr="0009785F">
        <w:rPr>
          <w:color w:val="auto"/>
        </w:rPr>
        <w:t>- De la revisión del contenido del acta de Asamblea General de fecha 04/04/2023 se verifica que se ha identificado plenamente el predio que va ser materia de parcelación, independización y/o subdivisión, es decir que expresamente se ha identificado que es el predio inscrito en la partida electrónica N.° 02112201 del Registro de Predios de Cajamarca.</w:t>
      </w:r>
    </w:p>
    <w:p w14:paraId="15370931" w14:textId="77777777" w:rsidR="0009785F" w:rsidRPr="0009785F" w:rsidRDefault="0009785F" w:rsidP="00332338">
      <w:pPr>
        <w:pStyle w:val="Default"/>
        <w:spacing w:before="120"/>
        <w:jc w:val="both"/>
        <w:rPr>
          <w:color w:val="auto"/>
        </w:rPr>
      </w:pPr>
      <w:r w:rsidRPr="0009785F">
        <w:rPr>
          <w:color w:val="auto"/>
        </w:rPr>
        <w:t xml:space="preserve">- Se ha tomado como acuerdo independizar 08 sub lotes y su área remanente, habiéndose indicado el nombre de cada uno de los lotes a independizar y su </w:t>
      </w:r>
      <w:r w:rsidRPr="0009785F">
        <w:rPr>
          <w:color w:val="auto"/>
        </w:rPr>
        <w:lastRenderedPageBreak/>
        <w:t>área aproximada, por lo que existen elementos de conexión suficientes que permiten identificar los predios materia de parcelación.</w:t>
      </w:r>
    </w:p>
    <w:p w14:paraId="7B685046" w14:textId="77777777" w:rsidR="0009785F" w:rsidRPr="0009785F" w:rsidRDefault="0009785F" w:rsidP="00332338">
      <w:pPr>
        <w:pStyle w:val="Default"/>
        <w:spacing w:before="120"/>
        <w:jc w:val="both"/>
        <w:rPr>
          <w:b/>
          <w:bCs/>
          <w:color w:val="auto"/>
        </w:rPr>
      </w:pPr>
      <w:r w:rsidRPr="0009785F">
        <w:rPr>
          <w:b/>
          <w:bCs/>
          <w:color w:val="auto"/>
        </w:rPr>
        <w:t>IV. Antecedente registral</w:t>
      </w:r>
    </w:p>
    <w:p w14:paraId="6BDC8576" w14:textId="77777777" w:rsidR="0009785F" w:rsidRPr="0009785F" w:rsidRDefault="0009785F" w:rsidP="00332338">
      <w:pPr>
        <w:pStyle w:val="Default"/>
        <w:spacing w:before="120"/>
        <w:jc w:val="both"/>
        <w:rPr>
          <w:color w:val="auto"/>
        </w:rPr>
      </w:pPr>
      <w:r w:rsidRPr="0009785F">
        <w:rPr>
          <w:color w:val="auto"/>
        </w:rPr>
        <w:t>En la ficha N.° 32 que continúa en la partida electrónica N.° 02007486 del Registro de Personas Jurídicas de Cajamarca, se encuentra inscrita la Comunidad Campesina Toled.</w:t>
      </w:r>
    </w:p>
    <w:p w14:paraId="05F8FFC6" w14:textId="5371DEFD" w:rsidR="0009785F" w:rsidRPr="0009785F" w:rsidRDefault="0009785F" w:rsidP="00332338">
      <w:pPr>
        <w:pStyle w:val="Default"/>
        <w:spacing w:before="120"/>
        <w:jc w:val="both"/>
        <w:rPr>
          <w:color w:val="auto"/>
        </w:rPr>
      </w:pPr>
      <w:r w:rsidRPr="0009785F">
        <w:rPr>
          <w:color w:val="auto"/>
        </w:rPr>
        <w:t>En el asiento C00010 de la citada partida se encuentra inscrito el último consejo directivo elegido en Asamblea General de fecha 03/10/2021, p</w:t>
      </w:r>
      <w:r>
        <w:rPr>
          <w:color w:val="auto"/>
        </w:rPr>
        <w:t>o</w:t>
      </w:r>
      <w:r w:rsidRPr="0009785F">
        <w:rPr>
          <w:color w:val="auto"/>
        </w:rPr>
        <w:t>r el periodo del 1/1/2022 al 31/12/2023, conformada por los siguientes miembros:</w:t>
      </w:r>
    </w:p>
    <w:p w14:paraId="3C7904CE" w14:textId="77777777" w:rsidR="0009785F" w:rsidRPr="0009785F" w:rsidRDefault="0009785F" w:rsidP="00332338">
      <w:pPr>
        <w:pStyle w:val="Default"/>
        <w:spacing w:before="120"/>
        <w:jc w:val="both"/>
        <w:rPr>
          <w:color w:val="auto"/>
        </w:rPr>
      </w:pPr>
      <w:r w:rsidRPr="0009785F">
        <w:rPr>
          <w:color w:val="auto"/>
        </w:rPr>
        <w:t>Presidente: Marcos Antonio Plasencia Uceda.</w:t>
      </w:r>
    </w:p>
    <w:p w14:paraId="09BA1D51" w14:textId="77777777" w:rsidR="0009785F" w:rsidRPr="0009785F" w:rsidRDefault="0009785F" w:rsidP="00332338">
      <w:pPr>
        <w:spacing w:before="120"/>
        <w:rPr>
          <w:rFonts w:cs="Arial"/>
          <w:sz w:val="24"/>
          <w:szCs w:val="24"/>
        </w:rPr>
      </w:pPr>
      <w:r w:rsidRPr="0009785F">
        <w:rPr>
          <w:rFonts w:cs="Arial"/>
          <w:sz w:val="24"/>
          <w:szCs w:val="24"/>
        </w:rPr>
        <w:t>Vicepresidente: Porfirio Calixto Uriol Namoc.</w:t>
      </w:r>
    </w:p>
    <w:p w14:paraId="44037508" w14:textId="77777777" w:rsidR="0009785F" w:rsidRPr="0009785F" w:rsidRDefault="0009785F" w:rsidP="00332338">
      <w:pPr>
        <w:autoSpaceDE w:val="0"/>
        <w:autoSpaceDN w:val="0"/>
        <w:adjustRightInd w:val="0"/>
        <w:spacing w:before="120"/>
        <w:rPr>
          <w:rFonts w:cs="Arial"/>
          <w:sz w:val="24"/>
          <w:szCs w:val="24"/>
        </w:rPr>
      </w:pPr>
      <w:r w:rsidRPr="0009785F">
        <w:rPr>
          <w:rFonts w:cs="Arial"/>
          <w:sz w:val="24"/>
          <w:szCs w:val="24"/>
        </w:rPr>
        <w:t>Secretario: Máximo Elvis Díaz Uceda.</w:t>
      </w:r>
    </w:p>
    <w:p w14:paraId="53AD8E1E" w14:textId="77777777" w:rsidR="0009785F" w:rsidRPr="0009785F" w:rsidRDefault="0009785F" w:rsidP="00332338">
      <w:pPr>
        <w:autoSpaceDE w:val="0"/>
        <w:autoSpaceDN w:val="0"/>
        <w:adjustRightInd w:val="0"/>
        <w:spacing w:before="120"/>
        <w:rPr>
          <w:rFonts w:cs="Arial"/>
          <w:sz w:val="24"/>
          <w:szCs w:val="24"/>
        </w:rPr>
      </w:pPr>
      <w:r w:rsidRPr="0009785F">
        <w:rPr>
          <w:rFonts w:cs="Arial"/>
          <w:sz w:val="24"/>
          <w:szCs w:val="24"/>
        </w:rPr>
        <w:t>Tesorero: Yesi Margot Mostacero Mostacero.</w:t>
      </w:r>
    </w:p>
    <w:p w14:paraId="44320969" w14:textId="77777777" w:rsidR="0009785F" w:rsidRPr="0009785F" w:rsidRDefault="0009785F" w:rsidP="00332338">
      <w:pPr>
        <w:autoSpaceDE w:val="0"/>
        <w:autoSpaceDN w:val="0"/>
        <w:adjustRightInd w:val="0"/>
        <w:spacing w:before="120"/>
        <w:rPr>
          <w:rFonts w:cs="Arial"/>
          <w:sz w:val="24"/>
          <w:szCs w:val="24"/>
        </w:rPr>
      </w:pPr>
      <w:r w:rsidRPr="0009785F">
        <w:rPr>
          <w:rFonts w:cs="Arial"/>
          <w:sz w:val="24"/>
          <w:szCs w:val="24"/>
        </w:rPr>
        <w:t>Fiscal: Elver Hugo Suárez Carrera.</w:t>
      </w:r>
    </w:p>
    <w:p w14:paraId="4E9FEC4B" w14:textId="77777777" w:rsidR="0009785F" w:rsidRPr="0009785F" w:rsidRDefault="0009785F" w:rsidP="00332338">
      <w:pPr>
        <w:autoSpaceDE w:val="0"/>
        <w:autoSpaceDN w:val="0"/>
        <w:adjustRightInd w:val="0"/>
        <w:spacing w:before="120"/>
        <w:rPr>
          <w:rFonts w:cs="Arial"/>
          <w:sz w:val="24"/>
          <w:szCs w:val="24"/>
        </w:rPr>
      </w:pPr>
      <w:r w:rsidRPr="0009785F">
        <w:rPr>
          <w:rFonts w:cs="Arial"/>
          <w:sz w:val="24"/>
          <w:szCs w:val="24"/>
        </w:rPr>
        <w:t>Vocal: Estilita Soledad Carrera Alva.</w:t>
      </w:r>
    </w:p>
    <w:p w14:paraId="6838C958" w14:textId="77777777" w:rsidR="0009785F" w:rsidRPr="0009785F" w:rsidRDefault="0009785F" w:rsidP="00332338">
      <w:pPr>
        <w:autoSpaceDE w:val="0"/>
        <w:autoSpaceDN w:val="0"/>
        <w:adjustRightInd w:val="0"/>
        <w:spacing w:before="120"/>
        <w:rPr>
          <w:rFonts w:cs="Arial"/>
          <w:sz w:val="24"/>
          <w:szCs w:val="24"/>
        </w:rPr>
      </w:pPr>
      <w:r w:rsidRPr="0009785F">
        <w:rPr>
          <w:rFonts w:cs="Arial"/>
          <w:sz w:val="24"/>
          <w:szCs w:val="24"/>
        </w:rPr>
        <w:t>Vocal: Flor Nicolasa Medina Namoc.</w:t>
      </w:r>
    </w:p>
    <w:p w14:paraId="65911579" w14:textId="77777777" w:rsidR="0009785F" w:rsidRPr="0009785F" w:rsidRDefault="0009785F" w:rsidP="00332338">
      <w:pPr>
        <w:autoSpaceDE w:val="0"/>
        <w:autoSpaceDN w:val="0"/>
        <w:adjustRightInd w:val="0"/>
        <w:spacing w:before="120"/>
        <w:rPr>
          <w:rFonts w:cs="Arial"/>
          <w:b/>
          <w:bCs/>
          <w:sz w:val="24"/>
          <w:szCs w:val="24"/>
        </w:rPr>
      </w:pPr>
      <w:r w:rsidRPr="0009785F">
        <w:rPr>
          <w:rFonts w:cs="Arial"/>
          <w:b/>
          <w:bCs/>
          <w:sz w:val="24"/>
          <w:szCs w:val="24"/>
        </w:rPr>
        <w:t>V. Planteamiento de las cuestiones</w:t>
      </w:r>
    </w:p>
    <w:p w14:paraId="09F1C15D" w14:textId="77777777" w:rsidR="0009785F" w:rsidRPr="0009785F" w:rsidRDefault="0009785F" w:rsidP="00332338">
      <w:pPr>
        <w:autoSpaceDE w:val="0"/>
        <w:autoSpaceDN w:val="0"/>
        <w:adjustRightInd w:val="0"/>
        <w:spacing w:before="120"/>
        <w:rPr>
          <w:rFonts w:cs="Arial"/>
          <w:sz w:val="24"/>
          <w:szCs w:val="24"/>
        </w:rPr>
      </w:pPr>
      <w:r w:rsidRPr="0009785F">
        <w:rPr>
          <w:rFonts w:cs="Arial"/>
          <w:sz w:val="24"/>
          <w:szCs w:val="24"/>
        </w:rPr>
        <w:t>Interviene como vocal ponente Gloria Amparo Salvatierra Valdivia.</w:t>
      </w:r>
    </w:p>
    <w:p w14:paraId="1A93D0AC" w14:textId="1CF5BFA9" w:rsidR="0009785F" w:rsidRPr="0009785F" w:rsidRDefault="0009785F" w:rsidP="00332338">
      <w:pPr>
        <w:autoSpaceDE w:val="0"/>
        <w:autoSpaceDN w:val="0"/>
        <w:adjustRightInd w:val="0"/>
        <w:spacing w:before="120"/>
        <w:rPr>
          <w:rFonts w:cs="Arial"/>
          <w:sz w:val="24"/>
          <w:szCs w:val="24"/>
        </w:rPr>
      </w:pPr>
      <w:r w:rsidRPr="0009785F">
        <w:rPr>
          <w:rFonts w:cs="Arial"/>
          <w:sz w:val="24"/>
          <w:szCs w:val="24"/>
        </w:rPr>
        <w:t xml:space="preserve">De lo expuesto y del análisis del caso, a criterio de esta </w:t>
      </w:r>
      <w:r w:rsidR="00332338" w:rsidRPr="0009785F">
        <w:rPr>
          <w:rFonts w:cs="Arial"/>
          <w:sz w:val="24"/>
          <w:szCs w:val="24"/>
        </w:rPr>
        <w:t xml:space="preserve">sala </w:t>
      </w:r>
      <w:r w:rsidRPr="0009785F">
        <w:rPr>
          <w:rFonts w:cs="Arial"/>
          <w:sz w:val="24"/>
          <w:szCs w:val="24"/>
        </w:rPr>
        <w:t>la cuestión a determinar es la siguiente:</w:t>
      </w:r>
    </w:p>
    <w:p w14:paraId="33B91FB1" w14:textId="77777777" w:rsidR="0009785F" w:rsidRPr="0009785F" w:rsidRDefault="0009785F" w:rsidP="00332338">
      <w:pPr>
        <w:numPr>
          <w:ilvl w:val="0"/>
          <w:numId w:val="1"/>
        </w:numPr>
        <w:autoSpaceDE w:val="0"/>
        <w:autoSpaceDN w:val="0"/>
        <w:adjustRightInd w:val="0"/>
        <w:spacing w:before="120"/>
        <w:rPr>
          <w:rFonts w:cs="Arial"/>
          <w:sz w:val="24"/>
          <w:szCs w:val="24"/>
        </w:rPr>
      </w:pPr>
      <w:r w:rsidRPr="0009785F">
        <w:rPr>
          <w:rFonts w:cs="Arial"/>
          <w:sz w:val="24"/>
          <w:szCs w:val="24"/>
        </w:rPr>
        <w:t>Si en el otorgamiento de facultades para actos de disposición o gravamen sobre territorio comunal se debe precisar su área y ubicación referencial.</w:t>
      </w:r>
    </w:p>
    <w:p w14:paraId="60018E88" w14:textId="77777777" w:rsidR="0009785F" w:rsidRPr="0009785F" w:rsidRDefault="0009785F" w:rsidP="00332338">
      <w:pPr>
        <w:autoSpaceDE w:val="0"/>
        <w:autoSpaceDN w:val="0"/>
        <w:adjustRightInd w:val="0"/>
        <w:spacing w:before="120"/>
        <w:rPr>
          <w:rFonts w:cs="Arial"/>
          <w:b/>
          <w:bCs/>
          <w:sz w:val="24"/>
          <w:szCs w:val="24"/>
        </w:rPr>
      </w:pPr>
      <w:r w:rsidRPr="0009785F">
        <w:rPr>
          <w:rFonts w:cs="Arial"/>
          <w:b/>
          <w:bCs/>
          <w:sz w:val="24"/>
          <w:szCs w:val="24"/>
        </w:rPr>
        <w:t>VI. Análisis</w:t>
      </w:r>
    </w:p>
    <w:p w14:paraId="36C5F151" w14:textId="77777777" w:rsidR="0009785F" w:rsidRPr="0009785F" w:rsidRDefault="0009785F" w:rsidP="00332338">
      <w:pPr>
        <w:autoSpaceDE w:val="0"/>
        <w:autoSpaceDN w:val="0"/>
        <w:adjustRightInd w:val="0"/>
        <w:spacing w:before="120"/>
        <w:rPr>
          <w:rFonts w:cs="Arial"/>
          <w:sz w:val="24"/>
          <w:szCs w:val="24"/>
        </w:rPr>
      </w:pPr>
      <w:r w:rsidRPr="0009785F">
        <w:rPr>
          <w:rFonts w:cs="Arial"/>
          <w:sz w:val="24"/>
          <w:szCs w:val="24"/>
        </w:rPr>
        <w:t>1. Las comunidades campesinas son reconocidas constitucionalmente en el artículo 89 de la Constitución Política del Perú, acorde con los convenios internacionales, en donde se señala que son autónomas en su organización, en lo económico y administrativo, entre otros, dentro del marco que la ley establece. Por su parte, el Código Civil contiene algunas normas de desarrollo legislativo sobre las comunidades campesinas en la Sección Cuarta del Libro I (Derecho de las Personas).</w:t>
      </w:r>
    </w:p>
    <w:p w14:paraId="62C77835" w14:textId="77777777" w:rsidR="0009785F" w:rsidRPr="0009785F" w:rsidRDefault="0009785F" w:rsidP="00332338">
      <w:pPr>
        <w:autoSpaceDE w:val="0"/>
        <w:autoSpaceDN w:val="0"/>
        <w:adjustRightInd w:val="0"/>
        <w:spacing w:before="120"/>
        <w:rPr>
          <w:rFonts w:cs="Arial"/>
          <w:sz w:val="24"/>
          <w:szCs w:val="24"/>
        </w:rPr>
      </w:pPr>
      <w:r w:rsidRPr="0009785F">
        <w:rPr>
          <w:rFonts w:cs="Arial"/>
          <w:sz w:val="24"/>
          <w:szCs w:val="24"/>
        </w:rPr>
        <w:t>Sin embargo, la mayor regulación de las comunidades campesinas se encuentra en la Ley N.° 24656 - Ley General de Comunidades Campesinas, cuyo artículo 2° las define como organizaciones de interés público, con existencia legal y personería jurídica, integradas por familias que habitan y controlan determinados territorios, ligadas por vínculos ancestrales, sociales, económicos y culturales, expresados en la propiedad comunal de la tierra, el trabajo comunal, la ayuda mutua, el gobierno democrático y el desarrollo de actividades multisectoriales, cuyos fines se orientan a la realización plena de sus miembros y del país.</w:t>
      </w:r>
    </w:p>
    <w:p w14:paraId="195B638C" w14:textId="593C3812" w:rsidR="0009785F" w:rsidRPr="0009785F" w:rsidRDefault="0009785F" w:rsidP="00332338">
      <w:pPr>
        <w:autoSpaceDE w:val="0"/>
        <w:autoSpaceDN w:val="0"/>
        <w:adjustRightInd w:val="0"/>
        <w:spacing w:before="120"/>
        <w:rPr>
          <w:rFonts w:cs="Arial"/>
          <w:sz w:val="24"/>
          <w:szCs w:val="24"/>
        </w:rPr>
      </w:pPr>
      <w:r w:rsidRPr="0009785F">
        <w:rPr>
          <w:rFonts w:cs="Arial"/>
          <w:sz w:val="24"/>
          <w:szCs w:val="24"/>
        </w:rPr>
        <w:lastRenderedPageBreak/>
        <w:t>Asimismo, la m</w:t>
      </w:r>
      <w:r w:rsidR="00332338" w:rsidRPr="0009785F">
        <w:rPr>
          <w:rFonts w:cs="Arial"/>
          <w:sz w:val="24"/>
          <w:szCs w:val="24"/>
        </w:rPr>
        <w:t xml:space="preserve">encionada ley recoge una serie de disposiciones que </w:t>
      </w:r>
      <w:r w:rsidRPr="0009785F">
        <w:rPr>
          <w:rFonts w:cs="Arial"/>
          <w:sz w:val="24"/>
          <w:szCs w:val="24"/>
        </w:rPr>
        <w:t>establecen las características propias de una comunidad campesina, regulan los derechos y obligaciones de los comuneros, señalan la estructura, funcionamiento y atribuciones de sus órganos.</w:t>
      </w:r>
    </w:p>
    <w:p w14:paraId="6206A09D" w14:textId="77777777" w:rsidR="0009785F" w:rsidRPr="0009785F" w:rsidRDefault="0009785F" w:rsidP="00332338">
      <w:pPr>
        <w:spacing w:before="120"/>
        <w:rPr>
          <w:rFonts w:cs="Arial"/>
          <w:sz w:val="24"/>
          <w:szCs w:val="24"/>
        </w:rPr>
      </w:pPr>
      <w:r w:rsidRPr="0009785F">
        <w:rPr>
          <w:rFonts w:cs="Arial"/>
          <w:sz w:val="24"/>
          <w:szCs w:val="24"/>
        </w:rPr>
        <w:t>Estas disposiciones se complementan con el Reglamento de la Ley, aprobado por Decreto Supremo N.° 008-91-TR y la Directiva N.° 10-2013-Sunarp-SN aprobada mediante Resolución N.° 343-2013-Sunarp-SN</w:t>
      </w:r>
      <w:r w:rsidRPr="0009785F">
        <w:rPr>
          <w:rFonts w:cs="Arial"/>
          <w:sz w:val="24"/>
          <w:szCs w:val="24"/>
          <w:vertAlign w:val="superscript"/>
        </w:rPr>
        <w:t>1</w:t>
      </w:r>
      <w:r w:rsidRPr="0009785F">
        <w:rPr>
          <w:rFonts w:cs="Arial"/>
          <w:sz w:val="24"/>
          <w:szCs w:val="24"/>
        </w:rPr>
        <w:t xml:space="preserve"> y que entró en vigencia el 18/2/2014</w:t>
      </w:r>
      <w:r w:rsidRPr="0009785F">
        <w:rPr>
          <w:rFonts w:cs="Arial"/>
          <w:sz w:val="24"/>
          <w:szCs w:val="24"/>
          <w:vertAlign w:val="superscript"/>
        </w:rPr>
        <w:t>2</w:t>
      </w:r>
      <w:r w:rsidRPr="0009785F">
        <w:rPr>
          <w:rFonts w:cs="Arial"/>
          <w:sz w:val="24"/>
          <w:szCs w:val="24"/>
        </w:rPr>
        <w:t>, la cual regula la inscripción de los actos y derechos de las comunidades campesinas.</w:t>
      </w:r>
    </w:p>
    <w:p w14:paraId="334C8E10" w14:textId="7AAA231D" w:rsidR="0009785F" w:rsidRPr="0009785F" w:rsidRDefault="0009785F" w:rsidP="00332338">
      <w:pPr>
        <w:autoSpaceDE w:val="0"/>
        <w:autoSpaceDN w:val="0"/>
        <w:adjustRightInd w:val="0"/>
        <w:spacing w:before="120"/>
        <w:rPr>
          <w:rFonts w:cs="Arial"/>
          <w:sz w:val="24"/>
          <w:szCs w:val="24"/>
        </w:rPr>
      </w:pPr>
      <w:r w:rsidRPr="0009785F">
        <w:rPr>
          <w:rFonts w:cs="Arial"/>
          <w:sz w:val="24"/>
          <w:szCs w:val="24"/>
        </w:rPr>
        <w:t>2. De acuerdo con los consid</w:t>
      </w:r>
      <w:r w:rsidR="00332338" w:rsidRPr="0009785F">
        <w:rPr>
          <w:rFonts w:cs="Arial"/>
          <w:sz w:val="24"/>
          <w:szCs w:val="24"/>
        </w:rPr>
        <w:t xml:space="preserve">erandos de la citada directiva, su finalidad es </w:t>
      </w:r>
      <w:r w:rsidRPr="0009785F">
        <w:rPr>
          <w:rFonts w:cs="Arial"/>
          <w:sz w:val="24"/>
          <w:szCs w:val="24"/>
        </w:rPr>
        <w:t>establecer lineamientos especiales y flexibles que faciliten el acceso de las comunidades campesinas a los servicios de los Registros Públicos, los mismos que deben encontrarse adecuados a la cosmovisión, costumbres y autonomía organizativa de dichas comunidades.</w:t>
      </w:r>
    </w:p>
    <w:p w14:paraId="1AF2CC4A" w14:textId="77777777" w:rsidR="0009785F" w:rsidRPr="0009785F" w:rsidRDefault="0009785F" w:rsidP="00332338">
      <w:pPr>
        <w:autoSpaceDE w:val="0"/>
        <w:autoSpaceDN w:val="0"/>
        <w:adjustRightInd w:val="0"/>
        <w:spacing w:before="120"/>
        <w:rPr>
          <w:rFonts w:cs="Arial"/>
          <w:sz w:val="24"/>
          <w:szCs w:val="24"/>
        </w:rPr>
      </w:pPr>
      <w:r w:rsidRPr="0009785F">
        <w:rPr>
          <w:rFonts w:cs="Arial"/>
          <w:sz w:val="24"/>
          <w:szCs w:val="24"/>
        </w:rPr>
        <w:t>La determinación de tales lineamientos conlleva a su vez a lograr el objetivo de dar uniformidad a los criterios de calificación registral para una correcta función registral que facilite y viabilice la inscripción de los actos otorgados por las comunidades campesinas en el Registro de Personas Jurídicas y en el Registro de Predios de estas, sin que ello implique una afectación directa a su situación jurídica o al ejercicio de los derechos colectivos de tales pueblos.</w:t>
      </w:r>
    </w:p>
    <w:p w14:paraId="6F93E981" w14:textId="719E2E43" w:rsidR="0009785F" w:rsidRPr="0009785F" w:rsidRDefault="0009785F" w:rsidP="00332338">
      <w:pPr>
        <w:autoSpaceDE w:val="0"/>
        <w:autoSpaceDN w:val="0"/>
        <w:adjustRightInd w:val="0"/>
        <w:spacing w:before="120"/>
        <w:rPr>
          <w:rFonts w:cs="Arial"/>
          <w:sz w:val="24"/>
          <w:szCs w:val="24"/>
        </w:rPr>
      </w:pPr>
      <w:r w:rsidRPr="0009785F">
        <w:rPr>
          <w:rFonts w:cs="Arial"/>
          <w:sz w:val="24"/>
          <w:szCs w:val="24"/>
        </w:rPr>
        <w:t xml:space="preserve">3. En cuanto a los actos inscribibles en el Registro de Predios, el numeral 6.8 de esta </w:t>
      </w:r>
      <w:r w:rsidR="00332338" w:rsidRPr="0009785F">
        <w:rPr>
          <w:rFonts w:cs="Arial"/>
          <w:sz w:val="24"/>
          <w:szCs w:val="24"/>
        </w:rPr>
        <w:t xml:space="preserve">directiva </w:t>
      </w:r>
      <w:r w:rsidRPr="0009785F">
        <w:rPr>
          <w:rFonts w:cs="Arial"/>
          <w:sz w:val="24"/>
          <w:szCs w:val="24"/>
        </w:rPr>
        <w:t>regula los actos de disposición y gravamen sobre el territorio comunal señalando:</w:t>
      </w:r>
    </w:p>
    <w:p w14:paraId="1871E3AA" w14:textId="77777777" w:rsidR="0009785F" w:rsidRPr="0009785F" w:rsidRDefault="0009785F" w:rsidP="00332338">
      <w:pPr>
        <w:autoSpaceDE w:val="0"/>
        <w:autoSpaceDN w:val="0"/>
        <w:adjustRightInd w:val="0"/>
        <w:spacing w:before="120"/>
        <w:rPr>
          <w:rFonts w:cs="Arial"/>
          <w:sz w:val="24"/>
          <w:szCs w:val="24"/>
        </w:rPr>
      </w:pPr>
      <w:r w:rsidRPr="0009785F">
        <w:rPr>
          <w:rFonts w:cs="Arial"/>
          <w:sz w:val="24"/>
          <w:szCs w:val="24"/>
        </w:rPr>
        <w:t>6.8 Actos de disposición y gravamen sobre el territorio comunal</w:t>
      </w:r>
    </w:p>
    <w:p w14:paraId="6437B684" w14:textId="4D181158" w:rsidR="0009785F" w:rsidRPr="0009785F" w:rsidRDefault="0009785F" w:rsidP="00332338">
      <w:pPr>
        <w:autoSpaceDE w:val="0"/>
        <w:autoSpaceDN w:val="0"/>
        <w:adjustRightInd w:val="0"/>
        <w:spacing w:before="120"/>
        <w:rPr>
          <w:rFonts w:cs="Arial"/>
          <w:sz w:val="24"/>
          <w:szCs w:val="24"/>
        </w:rPr>
      </w:pPr>
      <w:r w:rsidRPr="0009785F">
        <w:rPr>
          <w:rFonts w:cs="Arial"/>
          <w:sz w:val="24"/>
          <w:szCs w:val="24"/>
        </w:rPr>
        <w:t>Para efectos de disponer, gravar, arrendar o ejercer cualquier otro acto sobre las tierras comunales, se requerirá del acuerdo de la asamblea general con el voto favorable según lo dispuesto en los artículos 10 y 11 de la Ley N</w:t>
      </w:r>
      <w:r w:rsidR="00332338">
        <w:rPr>
          <w:rFonts w:cs="Arial"/>
          <w:sz w:val="24"/>
          <w:szCs w:val="24"/>
        </w:rPr>
        <w:t>.°</w:t>
      </w:r>
      <w:r w:rsidRPr="0009785F">
        <w:rPr>
          <w:rFonts w:cs="Arial"/>
          <w:sz w:val="24"/>
          <w:szCs w:val="24"/>
        </w:rPr>
        <w:t xml:space="preserve"> 26505.</w:t>
      </w:r>
    </w:p>
    <w:p w14:paraId="4861C3EA" w14:textId="77777777" w:rsidR="0009785F" w:rsidRPr="0009785F" w:rsidRDefault="0009785F" w:rsidP="00332338">
      <w:pPr>
        <w:autoSpaceDE w:val="0"/>
        <w:autoSpaceDN w:val="0"/>
        <w:adjustRightInd w:val="0"/>
        <w:spacing w:before="120"/>
        <w:rPr>
          <w:rFonts w:cs="Arial"/>
          <w:sz w:val="24"/>
          <w:szCs w:val="24"/>
        </w:rPr>
      </w:pPr>
      <w:r w:rsidRPr="0009785F">
        <w:rPr>
          <w:rFonts w:cs="Arial"/>
          <w:sz w:val="24"/>
          <w:szCs w:val="24"/>
        </w:rPr>
        <w:t>En tal sentido, a fin de acreditar que los representantes de la comunidad campesina cuentan con poder para efectuar los actos referidos en el párrafo precedente, resulta exigible la inscripción previa del otorgamiento de poderes en el Registro de Personas Jurídicas.</w:t>
      </w:r>
    </w:p>
    <w:p w14:paraId="69A5B94E" w14:textId="250A5662" w:rsidR="0009785F" w:rsidRPr="0009785F" w:rsidRDefault="0009785F" w:rsidP="00332338">
      <w:pPr>
        <w:autoSpaceDE w:val="0"/>
        <w:autoSpaceDN w:val="0"/>
        <w:adjustRightInd w:val="0"/>
        <w:spacing w:before="120"/>
        <w:rPr>
          <w:rFonts w:cs="Arial"/>
          <w:sz w:val="24"/>
          <w:szCs w:val="24"/>
        </w:rPr>
      </w:pPr>
      <w:r w:rsidRPr="0009785F">
        <w:rPr>
          <w:rFonts w:cs="Arial"/>
          <w:sz w:val="24"/>
          <w:szCs w:val="24"/>
        </w:rPr>
        <w:t xml:space="preserve">A efectos de determinar el quórum legalmente establecido se deberá acreditar ante el Registro de Personas Jurídicas, mediante una declaración jurada suscrita por el presidente de la directiva comunal con firma certificada ante notario, fedatario de la zona registral o </w:t>
      </w:r>
      <w:r w:rsidR="00E03ED2" w:rsidRPr="0009785F">
        <w:rPr>
          <w:rFonts w:cs="Arial"/>
          <w:sz w:val="24"/>
          <w:szCs w:val="24"/>
        </w:rPr>
        <w:t>juez de paz, en el que se indique si se trata de una comunidad campesina de l</w:t>
      </w:r>
      <w:r w:rsidRPr="0009785F">
        <w:rPr>
          <w:rFonts w:cs="Arial"/>
          <w:sz w:val="24"/>
          <w:szCs w:val="24"/>
        </w:rPr>
        <w:t>a costa o de la sierra y selva.</w:t>
      </w:r>
    </w:p>
    <w:p w14:paraId="15C2C240" w14:textId="77777777" w:rsidR="0009785F" w:rsidRPr="0009785F" w:rsidRDefault="0009785F" w:rsidP="00332338">
      <w:pPr>
        <w:autoSpaceDE w:val="0"/>
        <w:autoSpaceDN w:val="0"/>
        <w:adjustRightInd w:val="0"/>
        <w:spacing w:before="120"/>
        <w:rPr>
          <w:rFonts w:cs="Arial"/>
          <w:sz w:val="24"/>
          <w:szCs w:val="24"/>
        </w:rPr>
      </w:pPr>
      <w:r w:rsidRPr="0009785F">
        <w:rPr>
          <w:rFonts w:cs="Arial"/>
          <w:sz w:val="24"/>
          <w:szCs w:val="24"/>
        </w:rPr>
        <w:t>Salvo disposición distinta del estatuto, puede otorgarse poder para la transferencia de tierras, ya sea a favor de integrantes de la directiva comunal o a favor de personas que no integran la directiva comunal.</w:t>
      </w:r>
    </w:p>
    <w:p w14:paraId="6BA2CDB7" w14:textId="729B6F38" w:rsidR="0009785F" w:rsidRPr="0009785F" w:rsidRDefault="0009785F" w:rsidP="00332338">
      <w:pPr>
        <w:spacing w:before="120"/>
        <w:rPr>
          <w:rFonts w:cs="Arial"/>
          <w:sz w:val="24"/>
          <w:szCs w:val="24"/>
        </w:rPr>
      </w:pPr>
      <w:r w:rsidRPr="0009785F">
        <w:rPr>
          <w:rFonts w:cs="Arial"/>
          <w:b/>
          <w:bCs/>
          <w:sz w:val="24"/>
          <w:szCs w:val="24"/>
        </w:rPr>
        <w:t xml:space="preserve">El otorgamiento de facultades para actos de disposición o gravamen debe adoptarse con precisión de las características físicas del o los predios a disponer o gravar, salvo disposición distinta del estatuto de la </w:t>
      </w:r>
      <w:r w:rsidR="00E03ED2" w:rsidRPr="0009785F">
        <w:rPr>
          <w:rFonts w:cs="Arial"/>
          <w:b/>
          <w:bCs/>
          <w:sz w:val="24"/>
          <w:szCs w:val="24"/>
        </w:rPr>
        <w:t>comunidad</w:t>
      </w:r>
      <w:r w:rsidRPr="0009785F">
        <w:rPr>
          <w:rFonts w:cs="Arial"/>
          <w:b/>
          <w:bCs/>
          <w:sz w:val="24"/>
          <w:szCs w:val="24"/>
        </w:rPr>
        <w:t xml:space="preserve">. </w:t>
      </w:r>
      <w:r w:rsidRPr="0009785F">
        <w:rPr>
          <w:rFonts w:cs="Arial"/>
          <w:sz w:val="24"/>
          <w:szCs w:val="24"/>
        </w:rPr>
        <w:t>(El resaltado es nuestro).</w:t>
      </w:r>
    </w:p>
    <w:p w14:paraId="5FBAD5B9" w14:textId="77777777" w:rsidR="0009785F" w:rsidRPr="0009785F" w:rsidRDefault="0009785F" w:rsidP="00332338">
      <w:pPr>
        <w:autoSpaceDE w:val="0"/>
        <w:autoSpaceDN w:val="0"/>
        <w:adjustRightInd w:val="0"/>
        <w:spacing w:before="120"/>
        <w:rPr>
          <w:rFonts w:cs="Arial"/>
          <w:sz w:val="24"/>
          <w:szCs w:val="24"/>
        </w:rPr>
      </w:pPr>
      <w:r w:rsidRPr="0009785F">
        <w:rPr>
          <w:rFonts w:cs="Arial"/>
          <w:sz w:val="24"/>
          <w:szCs w:val="24"/>
        </w:rPr>
        <w:lastRenderedPageBreak/>
        <w:t>Se aprecia de la norma citada que, tratándose del otorgamiento de facultades a efectos de realizar actos de disposición o gravamen sobre partes materiales del terreno comunal, el poder deberá indicar las características físicas del predio objeto de contrato. No obstante, la directiva no señaló qué características físicas debían constar en el poder.</w:t>
      </w:r>
    </w:p>
    <w:p w14:paraId="1DA5F7F2" w14:textId="770EFC67" w:rsidR="0009785F" w:rsidRPr="0009785F" w:rsidRDefault="0009785F" w:rsidP="00332338">
      <w:pPr>
        <w:autoSpaceDE w:val="0"/>
        <w:autoSpaceDN w:val="0"/>
        <w:adjustRightInd w:val="0"/>
        <w:spacing w:before="120"/>
        <w:rPr>
          <w:rFonts w:cs="Arial"/>
          <w:sz w:val="24"/>
          <w:szCs w:val="24"/>
        </w:rPr>
      </w:pPr>
      <w:r w:rsidRPr="0009785F">
        <w:rPr>
          <w:rFonts w:cs="Arial"/>
          <w:sz w:val="24"/>
          <w:szCs w:val="24"/>
        </w:rPr>
        <w:t xml:space="preserve">Al respecto, a fin de uniformizar los criterios de interpretación respecto a la exigencia del numeral 6.8 de la </w:t>
      </w:r>
      <w:r w:rsidR="00E03ED2" w:rsidRPr="0009785F">
        <w:rPr>
          <w:rFonts w:cs="Arial"/>
          <w:sz w:val="24"/>
          <w:szCs w:val="24"/>
        </w:rPr>
        <w:t>directiva</w:t>
      </w:r>
      <w:r w:rsidRPr="0009785F">
        <w:rPr>
          <w:rFonts w:cs="Arial"/>
          <w:sz w:val="24"/>
          <w:szCs w:val="24"/>
        </w:rPr>
        <w:t>, este colegiado adoptó el siguiente acuerdo plenario en el CXXXI Pleno Registral, celebrado los días 6 y 7 de agosto del 2015:</w:t>
      </w:r>
    </w:p>
    <w:p w14:paraId="0325BB4F" w14:textId="77777777" w:rsidR="0009785F" w:rsidRPr="0009785F" w:rsidRDefault="0009785F" w:rsidP="00332338">
      <w:pPr>
        <w:autoSpaceDE w:val="0"/>
        <w:autoSpaceDN w:val="0"/>
        <w:adjustRightInd w:val="0"/>
        <w:spacing w:before="120"/>
        <w:rPr>
          <w:rFonts w:cs="Arial"/>
          <w:b/>
          <w:bCs/>
          <w:sz w:val="24"/>
          <w:szCs w:val="24"/>
        </w:rPr>
      </w:pPr>
      <w:r w:rsidRPr="0009785F">
        <w:rPr>
          <w:rFonts w:cs="Arial"/>
          <w:b/>
          <w:bCs/>
          <w:sz w:val="24"/>
          <w:szCs w:val="24"/>
        </w:rPr>
        <w:t>Otorgamiento de poder para disposición de terrenos comunales</w:t>
      </w:r>
    </w:p>
    <w:p w14:paraId="598F889C" w14:textId="77777777" w:rsidR="0009785F" w:rsidRPr="0009785F" w:rsidRDefault="0009785F" w:rsidP="00332338">
      <w:pPr>
        <w:autoSpaceDE w:val="0"/>
        <w:autoSpaceDN w:val="0"/>
        <w:adjustRightInd w:val="0"/>
        <w:spacing w:before="120"/>
        <w:rPr>
          <w:rFonts w:cs="Arial"/>
          <w:sz w:val="24"/>
          <w:szCs w:val="24"/>
        </w:rPr>
      </w:pPr>
      <w:r w:rsidRPr="0009785F">
        <w:rPr>
          <w:rFonts w:cs="Arial"/>
          <w:sz w:val="24"/>
          <w:szCs w:val="24"/>
        </w:rPr>
        <w:t>Cuando la Directiva N.° 10-2013-Sunarp-SN exige que el otorgamiento de facultades para actos de disposición o gravamen sobre el territorio comunal se adopte con precisión de las características físicas del predio a disponer o gravar, está requiriendo que se consignen cuando menos los elementos suficientes que permitan la identificación del mismo como son el área y ubicación referencial.</w:t>
      </w:r>
    </w:p>
    <w:p w14:paraId="7278AA61" w14:textId="77777777" w:rsidR="0009785F" w:rsidRPr="0009785F" w:rsidRDefault="0009785F" w:rsidP="00332338">
      <w:pPr>
        <w:autoSpaceDE w:val="0"/>
        <w:autoSpaceDN w:val="0"/>
        <w:adjustRightInd w:val="0"/>
        <w:spacing w:before="120"/>
        <w:rPr>
          <w:rFonts w:cs="Arial"/>
          <w:sz w:val="24"/>
          <w:szCs w:val="24"/>
        </w:rPr>
      </w:pPr>
      <w:r w:rsidRPr="0009785F">
        <w:rPr>
          <w:rFonts w:cs="Arial"/>
          <w:sz w:val="24"/>
          <w:szCs w:val="24"/>
        </w:rPr>
        <w:t>Entre los fundamentos esgrimidos para la adopción del criterio transcrito están los que se mencionan a continuación:</w:t>
      </w:r>
    </w:p>
    <w:p w14:paraId="1A2D36B0" w14:textId="77777777" w:rsidR="0009785F" w:rsidRPr="0009785F" w:rsidRDefault="0009785F" w:rsidP="00332338">
      <w:pPr>
        <w:autoSpaceDE w:val="0"/>
        <w:autoSpaceDN w:val="0"/>
        <w:adjustRightInd w:val="0"/>
        <w:spacing w:before="120"/>
        <w:rPr>
          <w:rFonts w:cs="Arial"/>
          <w:sz w:val="24"/>
          <w:szCs w:val="24"/>
        </w:rPr>
      </w:pPr>
      <w:r w:rsidRPr="0009785F">
        <w:rPr>
          <w:rFonts w:cs="Arial"/>
          <w:sz w:val="24"/>
          <w:szCs w:val="24"/>
        </w:rPr>
        <w:t>Cuando damos lectura a los considerandos de la Directiva 10-2013-Sunarp-SN encontramos expresiones como:</w:t>
      </w:r>
    </w:p>
    <w:p w14:paraId="5397C3B2" w14:textId="77777777" w:rsidR="0009785F" w:rsidRPr="0009785F" w:rsidRDefault="0009785F" w:rsidP="00332338">
      <w:pPr>
        <w:autoSpaceDE w:val="0"/>
        <w:autoSpaceDN w:val="0"/>
        <w:adjustRightInd w:val="0"/>
        <w:spacing w:before="120"/>
        <w:rPr>
          <w:rFonts w:cs="Arial"/>
          <w:sz w:val="24"/>
          <w:szCs w:val="24"/>
        </w:rPr>
      </w:pPr>
      <w:r w:rsidRPr="0009785F">
        <w:rPr>
          <w:rFonts w:cs="Arial"/>
          <w:sz w:val="24"/>
          <w:szCs w:val="24"/>
        </w:rPr>
        <w:t>Que, el derecho de los pueblos indígenas sobre identificación, delimitación, demarcación, titulación y protección de las áreas pertenecientes a sus pueblos nace del derecho a la propiedad que estos tienen sobre sus tierras, y en esta dimensión, si bien el Registro Público no es el responsable de la titulación de las mismas, colabora decididamente en la protección de tales derechos al publicitar los límites de dichos espacios y los actos de administración que los sustentan.</w:t>
      </w:r>
    </w:p>
    <w:p w14:paraId="003B61A1" w14:textId="720169CB" w:rsidR="0009785F" w:rsidRPr="0009785F" w:rsidRDefault="0009785F" w:rsidP="00332338">
      <w:pPr>
        <w:autoSpaceDE w:val="0"/>
        <w:autoSpaceDN w:val="0"/>
        <w:adjustRightInd w:val="0"/>
        <w:spacing w:before="120"/>
        <w:rPr>
          <w:rFonts w:cs="Arial"/>
          <w:sz w:val="24"/>
          <w:szCs w:val="24"/>
        </w:rPr>
      </w:pPr>
      <w:r w:rsidRPr="0009785F">
        <w:rPr>
          <w:rFonts w:cs="Arial"/>
          <w:sz w:val="24"/>
          <w:szCs w:val="24"/>
        </w:rPr>
        <w:t>Que, sin embargo, las formalidades registrales que se exigen para la inscripc</w:t>
      </w:r>
      <w:r w:rsidR="00E03ED2" w:rsidRPr="0009785F">
        <w:rPr>
          <w:rFonts w:cs="Arial"/>
          <w:sz w:val="24"/>
          <w:szCs w:val="24"/>
        </w:rPr>
        <w:t xml:space="preserve">ión de los principales actos y derechos de las comunidades campesinas en muchas ocasiones no son compatibles con el funcionamiento </w:t>
      </w:r>
      <w:r w:rsidRPr="0009785F">
        <w:rPr>
          <w:rFonts w:cs="Arial"/>
          <w:sz w:val="24"/>
          <w:szCs w:val="24"/>
        </w:rPr>
        <w:t>consuetudinario de las instituciones tradicionales</w:t>
      </w:r>
      <w:r w:rsidR="00E03ED2" w:rsidRPr="0009785F">
        <w:rPr>
          <w:rFonts w:cs="Arial"/>
          <w:sz w:val="24"/>
          <w:szCs w:val="24"/>
        </w:rPr>
        <w:t xml:space="preserve"> de gobierno de las comunidad</w:t>
      </w:r>
      <w:r w:rsidRPr="0009785F">
        <w:rPr>
          <w:rFonts w:cs="Arial"/>
          <w:sz w:val="24"/>
          <w:szCs w:val="24"/>
        </w:rPr>
        <w:t>es. En ese sentido, resulta necesario establecer los lineamientos especiales y flexibles que facil</w:t>
      </w:r>
      <w:r w:rsidR="00E03ED2" w:rsidRPr="0009785F">
        <w:rPr>
          <w:rFonts w:cs="Arial"/>
          <w:sz w:val="24"/>
          <w:szCs w:val="24"/>
        </w:rPr>
        <w:t xml:space="preserve">iten el acceso de las comunidades campesinas </w:t>
      </w:r>
      <w:r w:rsidRPr="0009785F">
        <w:rPr>
          <w:rFonts w:cs="Arial"/>
          <w:sz w:val="24"/>
          <w:szCs w:val="24"/>
        </w:rPr>
        <w:t>a los servicios de los Registros Públicos.</w:t>
      </w:r>
    </w:p>
    <w:p w14:paraId="011D086D" w14:textId="77777777" w:rsidR="0009785F" w:rsidRPr="0009785F" w:rsidRDefault="0009785F" w:rsidP="00332338">
      <w:pPr>
        <w:spacing w:before="120"/>
        <w:rPr>
          <w:rFonts w:cs="Arial"/>
          <w:sz w:val="24"/>
          <w:szCs w:val="24"/>
        </w:rPr>
      </w:pPr>
      <w:r w:rsidRPr="0009785F">
        <w:rPr>
          <w:rFonts w:cs="Arial"/>
          <w:sz w:val="24"/>
          <w:szCs w:val="24"/>
        </w:rPr>
        <w:t>En ese sentido, y atendiendo a lo establecido en el Convenio 169 de la OIT, el objetivo de la presente directiva es dar uniformidad a los criterios de calificación registral para una correcta función registral que facilite y viabilice la inscripción de dichos actos en el Registro de Personas Jurídicas y en el Registro de Predios de las Comunidades Campesinas, sin que ello implique una afectación directa a su situación jurídica o al ejercicio de los derechos colectivos de tales pueblos.</w:t>
      </w:r>
    </w:p>
    <w:p w14:paraId="51D8F425" w14:textId="4FD4C02D" w:rsidR="0009785F" w:rsidRPr="0009785F" w:rsidRDefault="0009785F" w:rsidP="00332338">
      <w:pPr>
        <w:autoSpaceDE w:val="0"/>
        <w:autoSpaceDN w:val="0"/>
        <w:adjustRightInd w:val="0"/>
        <w:spacing w:before="120"/>
        <w:rPr>
          <w:rFonts w:cs="Arial"/>
          <w:sz w:val="24"/>
          <w:szCs w:val="24"/>
        </w:rPr>
      </w:pPr>
      <w:r w:rsidRPr="0009785F">
        <w:rPr>
          <w:rFonts w:cs="Arial"/>
          <w:sz w:val="24"/>
          <w:szCs w:val="24"/>
        </w:rPr>
        <w:t>Por lo que el extremo del artículo 6°.8 de la Directiva que exige que el otorgamiento de facultades para actos de disposición o gravamen debe adoptarse con precisión de las características físicas del o los predios a disponer o gravar, salvo disposición distinta del es</w:t>
      </w:r>
      <w:r w:rsidR="00E03ED2" w:rsidRPr="0009785F">
        <w:rPr>
          <w:rFonts w:cs="Arial"/>
          <w:sz w:val="24"/>
          <w:szCs w:val="24"/>
        </w:rPr>
        <w:t xml:space="preserve">tatuto de la comunidad debe </w:t>
      </w:r>
      <w:r w:rsidRPr="0009785F">
        <w:rPr>
          <w:rFonts w:cs="Arial"/>
          <w:sz w:val="24"/>
          <w:szCs w:val="24"/>
        </w:rPr>
        <w:lastRenderedPageBreak/>
        <w:t>interpretarse con las limitaciones que señala los considerandos que la inspiran, es decir haciendo una interpretación teleológica. Tenemos fundamentos para considerar q</w:t>
      </w:r>
      <w:r w:rsidR="00E03ED2" w:rsidRPr="0009785F">
        <w:rPr>
          <w:rFonts w:cs="Arial"/>
          <w:sz w:val="24"/>
          <w:szCs w:val="24"/>
        </w:rPr>
        <w:t xml:space="preserve">ue la directiva no exige delimitación plena del predio, sino </w:t>
      </w:r>
      <w:r w:rsidRPr="0009785F">
        <w:rPr>
          <w:rFonts w:cs="Arial"/>
          <w:sz w:val="24"/>
          <w:szCs w:val="24"/>
        </w:rPr>
        <w:t>elementos (área, ubicación referencial) que permitan conocer sobre el cual recae el acuerdo de la comunidad.</w:t>
      </w:r>
    </w:p>
    <w:p w14:paraId="0B1B20A6" w14:textId="77777777" w:rsidR="0009785F" w:rsidRPr="0009785F" w:rsidRDefault="0009785F" w:rsidP="00332338">
      <w:pPr>
        <w:autoSpaceDE w:val="0"/>
        <w:autoSpaceDN w:val="0"/>
        <w:adjustRightInd w:val="0"/>
        <w:spacing w:before="120"/>
        <w:rPr>
          <w:rFonts w:cs="Arial"/>
          <w:sz w:val="24"/>
          <w:szCs w:val="24"/>
        </w:rPr>
      </w:pPr>
      <w:r w:rsidRPr="0009785F">
        <w:rPr>
          <w:rFonts w:cs="Arial"/>
          <w:sz w:val="24"/>
          <w:szCs w:val="24"/>
        </w:rPr>
        <w:t>4. Revisada el acta de asamblea general extraordinaria de fecha 09/04/2023 se tuvo como puntos de agenda:</w:t>
      </w:r>
    </w:p>
    <w:p w14:paraId="2AC03A00" w14:textId="77777777" w:rsidR="0009785F" w:rsidRPr="0009785F" w:rsidRDefault="0009785F" w:rsidP="00332338">
      <w:pPr>
        <w:autoSpaceDE w:val="0"/>
        <w:autoSpaceDN w:val="0"/>
        <w:adjustRightInd w:val="0"/>
        <w:spacing w:before="120"/>
        <w:rPr>
          <w:rFonts w:cs="Arial"/>
          <w:sz w:val="24"/>
          <w:szCs w:val="24"/>
        </w:rPr>
      </w:pPr>
      <w:r w:rsidRPr="0009785F">
        <w:rPr>
          <w:rFonts w:cs="Arial"/>
          <w:sz w:val="24"/>
          <w:szCs w:val="24"/>
        </w:rPr>
        <w:t>- Parcelación y disposición de bienes inmuebles (territorio comunal) inscrito en la partida electrónica N.° 02112201 del Registro de Predios de Cajamarca.</w:t>
      </w:r>
    </w:p>
    <w:p w14:paraId="2B7DE698" w14:textId="77777777" w:rsidR="0009785F" w:rsidRPr="0009785F" w:rsidRDefault="0009785F" w:rsidP="00332338">
      <w:pPr>
        <w:autoSpaceDE w:val="0"/>
        <w:autoSpaceDN w:val="0"/>
        <w:adjustRightInd w:val="0"/>
        <w:spacing w:before="120"/>
        <w:rPr>
          <w:rFonts w:cs="Arial"/>
          <w:sz w:val="24"/>
          <w:szCs w:val="24"/>
        </w:rPr>
      </w:pPr>
      <w:r w:rsidRPr="0009785F">
        <w:rPr>
          <w:rFonts w:cs="Arial"/>
          <w:sz w:val="24"/>
          <w:szCs w:val="24"/>
        </w:rPr>
        <w:t>- Designación de representantes y otorgamiento de facultades.</w:t>
      </w:r>
    </w:p>
    <w:p w14:paraId="180431D5" w14:textId="77777777" w:rsidR="0009785F" w:rsidRPr="0009785F" w:rsidRDefault="0009785F" w:rsidP="00332338">
      <w:pPr>
        <w:autoSpaceDE w:val="0"/>
        <w:autoSpaceDN w:val="0"/>
        <w:adjustRightInd w:val="0"/>
        <w:spacing w:before="120"/>
        <w:rPr>
          <w:rFonts w:cs="Arial"/>
          <w:sz w:val="24"/>
          <w:szCs w:val="24"/>
        </w:rPr>
      </w:pPr>
      <w:r w:rsidRPr="0009785F">
        <w:rPr>
          <w:rFonts w:cs="Arial"/>
          <w:sz w:val="24"/>
          <w:szCs w:val="24"/>
        </w:rPr>
        <w:t>Los acuerdos se adoptaron por unanimidad en los siguientes términos:</w:t>
      </w:r>
    </w:p>
    <w:p w14:paraId="73F87F55" w14:textId="1A6A0634" w:rsidR="0009785F" w:rsidRPr="0009785F" w:rsidRDefault="00E03ED2" w:rsidP="00332338">
      <w:pPr>
        <w:autoSpaceDE w:val="0"/>
        <w:autoSpaceDN w:val="0"/>
        <w:adjustRightInd w:val="0"/>
        <w:spacing w:before="120"/>
        <w:rPr>
          <w:rFonts w:cs="Arial"/>
          <w:sz w:val="24"/>
          <w:szCs w:val="24"/>
        </w:rPr>
      </w:pPr>
      <w:r>
        <w:rPr>
          <w:rFonts w:cs="Arial"/>
          <w:sz w:val="24"/>
          <w:szCs w:val="24"/>
        </w:rPr>
        <w:t>"</w:t>
      </w:r>
      <w:r w:rsidR="0009785F" w:rsidRPr="0009785F">
        <w:rPr>
          <w:rFonts w:cs="Arial"/>
          <w:sz w:val="24"/>
          <w:szCs w:val="24"/>
        </w:rPr>
        <w:t>(...)</w:t>
      </w:r>
      <w:r>
        <w:rPr>
          <w:rFonts w:cs="Arial"/>
          <w:sz w:val="24"/>
          <w:szCs w:val="24"/>
        </w:rPr>
        <w:t>.</w:t>
      </w:r>
    </w:p>
    <w:p w14:paraId="1F39E09C" w14:textId="474BD44D" w:rsidR="0009785F" w:rsidRPr="0009785F" w:rsidRDefault="0009785F" w:rsidP="00332338">
      <w:pPr>
        <w:autoSpaceDE w:val="0"/>
        <w:autoSpaceDN w:val="0"/>
        <w:adjustRightInd w:val="0"/>
        <w:spacing w:before="120"/>
        <w:rPr>
          <w:rFonts w:cs="Arial"/>
          <w:sz w:val="24"/>
          <w:szCs w:val="24"/>
        </w:rPr>
      </w:pPr>
      <w:r w:rsidRPr="0009785F">
        <w:rPr>
          <w:rFonts w:cs="Arial"/>
          <w:sz w:val="24"/>
          <w:szCs w:val="24"/>
        </w:rPr>
        <w:t>S</w:t>
      </w:r>
      <w:r w:rsidR="00E03ED2" w:rsidRPr="0009785F">
        <w:rPr>
          <w:rFonts w:cs="Arial"/>
          <w:sz w:val="24"/>
          <w:szCs w:val="24"/>
        </w:rPr>
        <w:t>e somete a consideración de la asamblea el presente punto de agenda, y después de un breve debate se acuerda por unanimidad, parcelar, independizar y/o subdividir parte del territorio comunal inscrito en la Partida Electrónica 02112201, del Registro de Predios de la Oficina Registral de Cajamarca, en ocho, sublotes y su área remanente:</w:t>
      </w:r>
    </w:p>
    <w:p w14:paraId="0A6A768D" w14:textId="75E87F38" w:rsidR="0009785F" w:rsidRPr="0009785F" w:rsidRDefault="0009785F" w:rsidP="00332338">
      <w:pPr>
        <w:autoSpaceDE w:val="0"/>
        <w:autoSpaceDN w:val="0"/>
        <w:adjustRightInd w:val="0"/>
        <w:spacing w:before="120"/>
        <w:rPr>
          <w:rFonts w:cs="Arial"/>
          <w:sz w:val="24"/>
          <w:szCs w:val="24"/>
        </w:rPr>
      </w:pPr>
      <w:r w:rsidRPr="0009785F">
        <w:rPr>
          <w:rFonts w:cs="Arial"/>
          <w:sz w:val="24"/>
          <w:szCs w:val="24"/>
          <w:u w:val="single"/>
        </w:rPr>
        <w:t>P</w:t>
      </w:r>
      <w:r w:rsidR="00E03ED2" w:rsidRPr="0009785F">
        <w:rPr>
          <w:rFonts w:cs="Arial"/>
          <w:sz w:val="24"/>
          <w:szCs w:val="24"/>
          <w:u w:val="single"/>
        </w:rPr>
        <w:t>rimer predio</w:t>
      </w:r>
      <w:r w:rsidR="00E03ED2" w:rsidRPr="0009785F">
        <w:rPr>
          <w:rFonts w:cs="Arial"/>
          <w:sz w:val="24"/>
          <w:szCs w:val="24"/>
        </w:rPr>
        <w:t xml:space="preserve">, denominado </w:t>
      </w:r>
      <w:r w:rsidR="00E03ED2">
        <w:rPr>
          <w:rFonts w:cs="Arial"/>
          <w:sz w:val="24"/>
          <w:szCs w:val="24"/>
        </w:rPr>
        <w:t>"</w:t>
      </w:r>
      <w:r w:rsidR="00E03ED2" w:rsidRPr="0009785F">
        <w:rPr>
          <w:rFonts w:cs="Arial"/>
          <w:sz w:val="24"/>
          <w:szCs w:val="24"/>
        </w:rPr>
        <w:t>Fila Hoyada Verde</w:t>
      </w:r>
      <w:r w:rsidR="00E03ED2">
        <w:rPr>
          <w:rFonts w:cs="Arial"/>
          <w:sz w:val="24"/>
          <w:szCs w:val="24"/>
        </w:rPr>
        <w:t>"</w:t>
      </w:r>
      <w:r w:rsidR="00E03ED2" w:rsidRPr="0009785F">
        <w:rPr>
          <w:rFonts w:cs="Arial"/>
          <w:sz w:val="24"/>
          <w:szCs w:val="24"/>
        </w:rPr>
        <w:t>; con una extensión superficial aproximada de 51</w:t>
      </w:r>
      <w:r w:rsidR="00E03ED2">
        <w:rPr>
          <w:rFonts w:cs="Arial"/>
          <w:sz w:val="24"/>
          <w:szCs w:val="24"/>
        </w:rPr>
        <w:t xml:space="preserve"> </w:t>
      </w:r>
      <w:r w:rsidR="00E03ED2" w:rsidRPr="0009785F">
        <w:rPr>
          <w:rFonts w:cs="Arial"/>
          <w:sz w:val="24"/>
          <w:szCs w:val="24"/>
        </w:rPr>
        <w:t>390 m</w:t>
      </w:r>
      <w:r w:rsidRPr="0009785F">
        <w:rPr>
          <w:rFonts w:cs="Arial"/>
          <w:sz w:val="24"/>
          <w:szCs w:val="24"/>
        </w:rPr>
        <w:t>2</w:t>
      </w:r>
    </w:p>
    <w:p w14:paraId="3152A357" w14:textId="7D7FF940" w:rsidR="0009785F" w:rsidRPr="0009785F" w:rsidRDefault="0009785F" w:rsidP="00332338">
      <w:pPr>
        <w:autoSpaceDE w:val="0"/>
        <w:autoSpaceDN w:val="0"/>
        <w:adjustRightInd w:val="0"/>
        <w:spacing w:before="120"/>
        <w:rPr>
          <w:rFonts w:cs="Arial"/>
          <w:sz w:val="24"/>
          <w:szCs w:val="24"/>
        </w:rPr>
      </w:pPr>
      <w:r w:rsidRPr="0009785F">
        <w:rPr>
          <w:rFonts w:cs="Arial"/>
          <w:sz w:val="24"/>
          <w:szCs w:val="24"/>
          <w:u w:val="single"/>
        </w:rPr>
        <w:t>S</w:t>
      </w:r>
      <w:r w:rsidR="00E03ED2" w:rsidRPr="0009785F">
        <w:rPr>
          <w:rFonts w:cs="Arial"/>
          <w:sz w:val="24"/>
          <w:szCs w:val="24"/>
          <w:u w:val="single"/>
        </w:rPr>
        <w:t>egundo predio</w:t>
      </w:r>
      <w:r w:rsidR="00E03ED2" w:rsidRPr="0009785F">
        <w:rPr>
          <w:rFonts w:cs="Arial"/>
          <w:sz w:val="24"/>
          <w:szCs w:val="24"/>
        </w:rPr>
        <w:t xml:space="preserve">, denominado </w:t>
      </w:r>
      <w:r w:rsidR="00E03ED2">
        <w:rPr>
          <w:rFonts w:cs="Arial"/>
          <w:sz w:val="24"/>
          <w:szCs w:val="24"/>
        </w:rPr>
        <w:t>"</w:t>
      </w:r>
      <w:r w:rsidR="00E03ED2" w:rsidRPr="0009785F">
        <w:rPr>
          <w:rFonts w:cs="Arial"/>
          <w:sz w:val="24"/>
          <w:szCs w:val="24"/>
        </w:rPr>
        <w:t>El Alizo</w:t>
      </w:r>
      <w:r w:rsidR="00E03ED2">
        <w:rPr>
          <w:rFonts w:cs="Arial"/>
          <w:sz w:val="24"/>
          <w:szCs w:val="24"/>
        </w:rPr>
        <w:t>"</w:t>
      </w:r>
      <w:r w:rsidR="00E03ED2" w:rsidRPr="0009785F">
        <w:rPr>
          <w:rFonts w:cs="Arial"/>
          <w:sz w:val="24"/>
          <w:szCs w:val="24"/>
        </w:rPr>
        <w:t>; con una extensión superficial aproximada de 73</w:t>
      </w:r>
      <w:r w:rsidR="00E03ED2">
        <w:rPr>
          <w:rFonts w:cs="Arial"/>
          <w:sz w:val="24"/>
          <w:szCs w:val="24"/>
        </w:rPr>
        <w:t xml:space="preserve"> </w:t>
      </w:r>
      <w:r w:rsidR="00E03ED2" w:rsidRPr="0009785F">
        <w:rPr>
          <w:rFonts w:cs="Arial"/>
          <w:sz w:val="24"/>
          <w:szCs w:val="24"/>
        </w:rPr>
        <w:t>540 m</w:t>
      </w:r>
      <w:r w:rsidRPr="0009785F">
        <w:rPr>
          <w:rFonts w:cs="Arial"/>
          <w:sz w:val="24"/>
          <w:szCs w:val="24"/>
        </w:rPr>
        <w:t>2.</w:t>
      </w:r>
    </w:p>
    <w:p w14:paraId="4A510936" w14:textId="3C767B9C" w:rsidR="0009785F" w:rsidRPr="0009785F" w:rsidRDefault="0009785F" w:rsidP="00332338">
      <w:pPr>
        <w:autoSpaceDE w:val="0"/>
        <w:autoSpaceDN w:val="0"/>
        <w:adjustRightInd w:val="0"/>
        <w:spacing w:before="120"/>
        <w:rPr>
          <w:rFonts w:cs="Arial"/>
          <w:sz w:val="24"/>
          <w:szCs w:val="24"/>
        </w:rPr>
      </w:pPr>
      <w:r w:rsidRPr="0009785F">
        <w:rPr>
          <w:rFonts w:cs="Arial"/>
          <w:sz w:val="24"/>
          <w:szCs w:val="24"/>
          <w:u w:val="single"/>
        </w:rPr>
        <w:t>T</w:t>
      </w:r>
      <w:r w:rsidR="00E03ED2" w:rsidRPr="0009785F">
        <w:rPr>
          <w:rFonts w:cs="Arial"/>
          <w:sz w:val="24"/>
          <w:szCs w:val="24"/>
          <w:u w:val="single"/>
        </w:rPr>
        <w:t>ercer predio</w:t>
      </w:r>
      <w:r w:rsidR="00E03ED2" w:rsidRPr="0009785F">
        <w:rPr>
          <w:rFonts w:cs="Arial"/>
          <w:sz w:val="24"/>
          <w:szCs w:val="24"/>
        </w:rPr>
        <w:t xml:space="preserve">, denominado </w:t>
      </w:r>
      <w:r w:rsidR="00E03ED2">
        <w:rPr>
          <w:rFonts w:cs="Arial"/>
          <w:sz w:val="24"/>
          <w:szCs w:val="24"/>
        </w:rPr>
        <w:t>"</w:t>
      </w:r>
      <w:r w:rsidR="00E03ED2" w:rsidRPr="0009785F">
        <w:rPr>
          <w:rFonts w:cs="Arial"/>
          <w:sz w:val="24"/>
          <w:szCs w:val="24"/>
        </w:rPr>
        <w:t>La Manzana</w:t>
      </w:r>
      <w:r w:rsidR="00E03ED2">
        <w:rPr>
          <w:rFonts w:cs="Arial"/>
          <w:sz w:val="24"/>
          <w:szCs w:val="24"/>
        </w:rPr>
        <w:t>"</w:t>
      </w:r>
      <w:r w:rsidR="00E03ED2" w:rsidRPr="0009785F">
        <w:rPr>
          <w:rFonts w:cs="Arial"/>
          <w:sz w:val="24"/>
          <w:szCs w:val="24"/>
        </w:rPr>
        <w:t xml:space="preserve">; con una extensión superficial aproximada de </w:t>
      </w:r>
      <w:r w:rsidRPr="0009785F">
        <w:rPr>
          <w:rFonts w:cs="Arial"/>
          <w:sz w:val="24"/>
          <w:szCs w:val="24"/>
        </w:rPr>
        <w:t>1</w:t>
      </w:r>
      <w:r w:rsidR="00E03ED2">
        <w:rPr>
          <w:rFonts w:cs="Arial"/>
          <w:sz w:val="24"/>
          <w:szCs w:val="24"/>
        </w:rPr>
        <w:t xml:space="preserve"> </w:t>
      </w:r>
      <w:r w:rsidRPr="0009785F">
        <w:rPr>
          <w:rFonts w:cs="Arial"/>
          <w:sz w:val="24"/>
          <w:szCs w:val="24"/>
        </w:rPr>
        <w:t xml:space="preserve">920 </w:t>
      </w:r>
      <w:r w:rsidR="00E03ED2" w:rsidRPr="0009785F">
        <w:rPr>
          <w:rFonts w:cs="Arial"/>
          <w:sz w:val="24"/>
          <w:szCs w:val="24"/>
        </w:rPr>
        <w:t>m2</w:t>
      </w:r>
      <w:r w:rsidRPr="0009785F">
        <w:rPr>
          <w:rFonts w:cs="Arial"/>
          <w:sz w:val="24"/>
          <w:szCs w:val="24"/>
        </w:rPr>
        <w:t>.</w:t>
      </w:r>
    </w:p>
    <w:p w14:paraId="21DB36D5" w14:textId="7B10F04D" w:rsidR="0009785F" w:rsidRPr="0009785F" w:rsidRDefault="0009785F" w:rsidP="00332338">
      <w:pPr>
        <w:autoSpaceDE w:val="0"/>
        <w:autoSpaceDN w:val="0"/>
        <w:adjustRightInd w:val="0"/>
        <w:spacing w:before="120"/>
        <w:rPr>
          <w:rFonts w:cs="Arial"/>
          <w:sz w:val="24"/>
          <w:szCs w:val="24"/>
        </w:rPr>
      </w:pPr>
      <w:r w:rsidRPr="0009785F">
        <w:rPr>
          <w:rFonts w:cs="Arial"/>
          <w:sz w:val="24"/>
          <w:szCs w:val="24"/>
          <w:u w:val="single"/>
        </w:rPr>
        <w:t>C</w:t>
      </w:r>
      <w:r w:rsidR="00E03ED2" w:rsidRPr="0009785F">
        <w:rPr>
          <w:rFonts w:cs="Arial"/>
          <w:sz w:val="24"/>
          <w:szCs w:val="24"/>
          <w:u w:val="single"/>
        </w:rPr>
        <w:t>uarto predio</w:t>
      </w:r>
      <w:r w:rsidR="00E03ED2" w:rsidRPr="0009785F">
        <w:rPr>
          <w:rFonts w:cs="Arial"/>
          <w:sz w:val="24"/>
          <w:szCs w:val="24"/>
        </w:rPr>
        <w:t xml:space="preserve">, denominado </w:t>
      </w:r>
      <w:r w:rsidR="00E03ED2">
        <w:rPr>
          <w:rFonts w:cs="Arial"/>
          <w:sz w:val="24"/>
          <w:szCs w:val="24"/>
        </w:rPr>
        <w:t>"</w:t>
      </w:r>
      <w:r w:rsidR="00E03ED2" w:rsidRPr="0009785F">
        <w:rPr>
          <w:rFonts w:cs="Arial"/>
          <w:sz w:val="24"/>
          <w:szCs w:val="24"/>
        </w:rPr>
        <w:t>Las Peladeras y El Hualango</w:t>
      </w:r>
      <w:r w:rsidR="00E03ED2">
        <w:rPr>
          <w:rFonts w:cs="Arial"/>
          <w:sz w:val="24"/>
          <w:szCs w:val="24"/>
        </w:rPr>
        <w:t>"</w:t>
      </w:r>
      <w:r w:rsidR="00E03ED2" w:rsidRPr="0009785F">
        <w:rPr>
          <w:rFonts w:cs="Arial"/>
          <w:sz w:val="24"/>
          <w:szCs w:val="24"/>
        </w:rPr>
        <w:t>; con una extensión aproximada de 91</w:t>
      </w:r>
      <w:r w:rsidR="00E03ED2">
        <w:rPr>
          <w:rFonts w:cs="Arial"/>
          <w:sz w:val="24"/>
          <w:szCs w:val="24"/>
        </w:rPr>
        <w:t xml:space="preserve"> </w:t>
      </w:r>
      <w:r w:rsidR="00E03ED2" w:rsidRPr="0009785F">
        <w:rPr>
          <w:rFonts w:cs="Arial"/>
          <w:sz w:val="24"/>
          <w:szCs w:val="24"/>
        </w:rPr>
        <w:t>320 m</w:t>
      </w:r>
      <w:r w:rsidRPr="0009785F">
        <w:rPr>
          <w:rFonts w:cs="Arial"/>
          <w:sz w:val="24"/>
          <w:szCs w:val="24"/>
        </w:rPr>
        <w:t>2.</w:t>
      </w:r>
    </w:p>
    <w:p w14:paraId="71D35787" w14:textId="7D2151C6" w:rsidR="0009785F" w:rsidRPr="0009785F" w:rsidRDefault="0009785F" w:rsidP="00332338">
      <w:pPr>
        <w:autoSpaceDE w:val="0"/>
        <w:autoSpaceDN w:val="0"/>
        <w:adjustRightInd w:val="0"/>
        <w:spacing w:before="120"/>
        <w:rPr>
          <w:rFonts w:cs="Arial"/>
          <w:sz w:val="24"/>
          <w:szCs w:val="24"/>
        </w:rPr>
      </w:pPr>
      <w:r w:rsidRPr="0009785F">
        <w:rPr>
          <w:rFonts w:cs="Arial"/>
          <w:sz w:val="24"/>
          <w:szCs w:val="24"/>
          <w:u w:val="single"/>
        </w:rPr>
        <w:t>Q</w:t>
      </w:r>
      <w:r w:rsidR="00E03ED2" w:rsidRPr="0009785F">
        <w:rPr>
          <w:rFonts w:cs="Arial"/>
          <w:sz w:val="24"/>
          <w:szCs w:val="24"/>
          <w:u w:val="single"/>
        </w:rPr>
        <w:t>uinto predio</w:t>
      </w:r>
      <w:r w:rsidR="00E03ED2" w:rsidRPr="0009785F">
        <w:rPr>
          <w:rFonts w:cs="Arial"/>
          <w:sz w:val="24"/>
          <w:szCs w:val="24"/>
        </w:rPr>
        <w:t xml:space="preserve">, denominado </w:t>
      </w:r>
      <w:r w:rsidR="00E03ED2">
        <w:rPr>
          <w:rFonts w:cs="Arial"/>
          <w:sz w:val="24"/>
          <w:szCs w:val="24"/>
        </w:rPr>
        <w:t>"</w:t>
      </w:r>
      <w:r w:rsidR="00E03ED2" w:rsidRPr="0009785F">
        <w:rPr>
          <w:rFonts w:cs="Arial"/>
          <w:sz w:val="24"/>
          <w:szCs w:val="24"/>
        </w:rPr>
        <w:t>Los Eucaliptos</w:t>
      </w:r>
      <w:r w:rsidR="00E03ED2">
        <w:rPr>
          <w:rFonts w:cs="Arial"/>
          <w:sz w:val="24"/>
          <w:szCs w:val="24"/>
        </w:rPr>
        <w:t>"</w:t>
      </w:r>
      <w:r w:rsidR="00E03ED2" w:rsidRPr="0009785F">
        <w:rPr>
          <w:rFonts w:cs="Arial"/>
          <w:sz w:val="24"/>
          <w:szCs w:val="24"/>
        </w:rPr>
        <w:t xml:space="preserve">; con una extensión superficial aproximada de </w:t>
      </w:r>
      <w:r w:rsidRPr="0009785F">
        <w:rPr>
          <w:rFonts w:cs="Arial"/>
          <w:sz w:val="24"/>
          <w:szCs w:val="24"/>
        </w:rPr>
        <w:t>2</w:t>
      </w:r>
      <w:r w:rsidR="00E03ED2">
        <w:rPr>
          <w:rFonts w:cs="Arial"/>
          <w:sz w:val="24"/>
          <w:szCs w:val="24"/>
        </w:rPr>
        <w:t xml:space="preserve"> </w:t>
      </w:r>
      <w:r w:rsidRPr="0009785F">
        <w:rPr>
          <w:rFonts w:cs="Arial"/>
          <w:sz w:val="24"/>
          <w:szCs w:val="24"/>
        </w:rPr>
        <w:t xml:space="preserve">250 </w:t>
      </w:r>
      <w:r w:rsidR="00E03ED2" w:rsidRPr="0009785F">
        <w:rPr>
          <w:rFonts w:cs="Arial"/>
          <w:sz w:val="24"/>
          <w:szCs w:val="24"/>
        </w:rPr>
        <w:t>m2.</w:t>
      </w:r>
    </w:p>
    <w:p w14:paraId="53D1C131" w14:textId="7F292A04" w:rsidR="0009785F" w:rsidRPr="0009785F" w:rsidRDefault="0009785F" w:rsidP="00332338">
      <w:pPr>
        <w:autoSpaceDE w:val="0"/>
        <w:autoSpaceDN w:val="0"/>
        <w:adjustRightInd w:val="0"/>
        <w:spacing w:before="120"/>
        <w:rPr>
          <w:rFonts w:cs="Arial"/>
          <w:sz w:val="24"/>
          <w:szCs w:val="24"/>
        </w:rPr>
      </w:pPr>
      <w:r w:rsidRPr="0009785F">
        <w:rPr>
          <w:rFonts w:cs="Arial"/>
          <w:sz w:val="24"/>
          <w:szCs w:val="24"/>
          <w:u w:val="single"/>
        </w:rPr>
        <w:t>S</w:t>
      </w:r>
      <w:r w:rsidR="00E03ED2" w:rsidRPr="0009785F">
        <w:rPr>
          <w:rFonts w:cs="Arial"/>
          <w:sz w:val="24"/>
          <w:szCs w:val="24"/>
          <w:u w:val="single"/>
        </w:rPr>
        <w:t>exto predio</w:t>
      </w:r>
      <w:r w:rsidR="00E03ED2" w:rsidRPr="0009785F">
        <w:rPr>
          <w:rFonts w:cs="Arial"/>
          <w:sz w:val="24"/>
          <w:szCs w:val="24"/>
        </w:rPr>
        <w:t xml:space="preserve">, denominado </w:t>
      </w:r>
      <w:r w:rsidR="00E03ED2">
        <w:rPr>
          <w:rFonts w:cs="Arial"/>
          <w:sz w:val="24"/>
          <w:szCs w:val="24"/>
        </w:rPr>
        <w:t>"</w:t>
      </w:r>
      <w:r w:rsidR="00E03ED2" w:rsidRPr="0009785F">
        <w:rPr>
          <w:rFonts w:cs="Arial"/>
          <w:sz w:val="24"/>
          <w:szCs w:val="24"/>
        </w:rPr>
        <w:t>La Taya</w:t>
      </w:r>
      <w:r w:rsidR="00E03ED2">
        <w:rPr>
          <w:rFonts w:cs="Arial"/>
          <w:sz w:val="24"/>
          <w:szCs w:val="24"/>
        </w:rPr>
        <w:t>"</w:t>
      </w:r>
      <w:r w:rsidR="00E03ED2" w:rsidRPr="0009785F">
        <w:rPr>
          <w:rFonts w:cs="Arial"/>
          <w:sz w:val="24"/>
          <w:szCs w:val="24"/>
        </w:rPr>
        <w:t xml:space="preserve">; con una extensión superficial aproximada de </w:t>
      </w:r>
      <w:r w:rsidRPr="0009785F">
        <w:rPr>
          <w:rFonts w:cs="Arial"/>
          <w:sz w:val="24"/>
          <w:szCs w:val="24"/>
        </w:rPr>
        <w:t>4</w:t>
      </w:r>
      <w:r w:rsidR="00E03ED2">
        <w:rPr>
          <w:rFonts w:cs="Arial"/>
          <w:sz w:val="24"/>
          <w:szCs w:val="24"/>
        </w:rPr>
        <w:t xml:space="preserve"> </w:t>
      </w:r>
      <w:r w:rsidRPr="0009785F">
        <w:rPr>
          <w:rFonts w:cs="Arial"/>
          <w:sz w:val="24"/>
          <w:szCs w:val="24"/>
        </w:rPr>
        <w:t xml:space="preserve">790 </w:t>
      </w:r>
      <w:r w:rsidR="00E03ED2" w:rsidRPr="0009785F">
        <w:rPr>
          <w:rFonts w:cs="Arial"/>
          <w:sz w:val="24"/>
          <w:szCs w:val="24"/>
        </w:rPr>
        <w:t>M2</w:t>
      </w:r>
    </w:p>
    <w:p w14:paraId="30ED450D" w14:textId="57CA349A" w:rsidR="0009785F" w:rsidRPr="0009785F" w:rsidRDefault="0009785F" w:rsidP="00332338">
      <w:pPr>
        <w:autoSpaceDE w:val="0"/>
        <w:autoSpaceDN w:val="0"/>
        <w:adjustRightInd w:val="0"/>
        <w:spacing w:before="120"/>
        <w:rPr>
          <w:rFonts w:cs="Arial"/>
          <w:sz w:val="24"/>
          <w:szCs w:val="24"/>
        </w:rPr>
      </w:pPr>
      <w:r w:rsidRPr="0009785F">
        <w:rPr>
          <w:rFonts w:cs="Arial"/>
          <w:sz w:val="24"/>
          <w:szCs w:val="24"/>
          <w:u w:val="single"/>
        </w:rPr>
        <w:t>S</w:t>
      </w:r>
      <w:r w:rsidR="00E03ED2" w:rsidRPr="0009785F">
        <w:rPr>
          <w:rFonts w:cs="Arial"/>
          <w:sz w:val="24"/>
          <w:szCs w:val="24"/>
          <w:u w:val="single"/>
        </w:rPr>
        <w:t>éptimo predio</w:t>
      </w:r>
      <w:r w:rsidR="00E03ED2" w:rsidRPr="0009785F">
        <w:rPr>
          <w:rFonts w:cs="Arial"/>
          <w:sz w:val="24"/>
          <w:szCs w:val="24"/>
        </w:rPr>
        <w:t xml:space="preserve">, denominado </w:t>
      </w:r>
      <w:r w:rsidR="00E03ED2">
        <w:rPr>
          <w:rFonts w:cs="Arial"/>
          <w:sz w:val="24"/>
          <w:szCs w:val="24"/>
        </w:rPr>
        <w:t>"</w:t>
      </w:r>
      <w:r w:rsidR="00E03ED2" w:rsidRPr="0009785F">
        <w:rPr>
          <w:rFonts w:cs="Arial"/>
          <w:sz w:val="24"/>
          <w:szCs w:val="24"/>
        </w:rPr>
        <w:t>Pampa del Cardón</w:t>
      </w:r>
      <w:r w:rsidR="00E03ED2">
        <w:rPr>
          <w:rFonts w:cs="Arial"/>
          <w:sz w:val="24"/>
          <w:szCs w:val="24"/>
        </w:rPr>
        <w:t>"</w:t>
      </w:r>
      <w:r w:rsidR="00E03ED2" w:rsidRPr="0009785F">
        <w:rPr>
          <w:rFonts w:cs="Arial"/>
          <w:sz w:val="24"/>
          <w:szCs w:val="24"/>
        </w:rPr>
        <w:t>; con una extensión superficial de aproximada de 32</w:t>
      </w:r>
      <w:r w:rsidR="00E03ED2">
        <w:rPr>
          <w:rFonts w:cs="Arial"/>
          <w:sz w:val="24"/>
          <w:szCs w:val="24"/>
        </w:rPr>
        <w:t xml:space="preserve"> </w:t>
      </w:r>
      <w:r w:rsidR="00E03ED2" w:rsidRPr="0009785F">
        <w:rPr>
          <w:rFonts w:cs="Arial"/>
          <w:sz w:val="24"/>
          <w:szCs w:val="24"/>
        </w:rPr>
        <w:t>200 m2</w:t>
      </w:r>
      <w:r w:rsidRPr="0009785F">
        <w:rPr>
          <w:rFonts w:cs="Arial"/>
          <w:sz w:val="24"/>
          <w:szCs w:val="24"/>
        </w:rPr>
        <w:t>.</w:t>
      </w:r>
    </w:p>
    <w:p w14:paraId="197ECBCE" w14:textId="59F09739" w:rsidR="0009785F" w:rsidRPr="0009785F" w:rsidRDefault="0009785F" w:rsidP="00332338">
      <w:pPr>
        <w:autoSpaceDE w:val="0"/>
        <w:autoSpaceDN w:val="0"/>
        <w:adjustRightInd w:val="0"/>
        <w:spacing w:before="120"/>
        <w:rPr>
          <w:rFonts w:cs="Arial"/>
          <w:sz w:val="24"/>
          <w:szCs w:val="24"/>
        </w:rPr>
      </w:pPr>
      <w:r w:rsidRPr="0009785F">
        <w:rPr>
          <w:rFonts w:cs="Arial"/>
          <w:sz w:val="24"/>
          <w:szCs w:val="24"/>
          <w:u w:val="single"/>
        </w:rPr>
        <w:t>O</w:t>
      </w:r>
      <w:r w:rsidR="00E03ED2" w:rsidRPr="0009785F">
        <w:rPr>
          <w:rFonts w:cs="Arial"/>
          <w:sz w:val="24"/>
          <w:szCs w:val="24"/>
          <w:u w:val="single"/>
        </w:rPr>
        <w:t>ctavo predio</w:t>
      </w:r>
      <w:r w:rsidR="00E03ED2" w:rsidRPr="0009785F">
        <w:rPr>
          <w:rFonts w:cs="Arial"/>
          <w:sz w:val="24"/>
          <w:szCs w:val="24"/>
        </w:rPr>
        <w:t xml:space="preserve">, denominado </w:t>
      </w:r>
      <w:r w:rsidR="00E03ED2">
        <w:rPr>
          <w:rFonts w:cs="Arial"/>
          <w:sz w:val="24"/>
          <w:szCs w:val="24"/>
        </w:rPr>
        <w:t>"</w:t>
      </w:r>
      <w:r w:rsidR="00E03ED2" w:rsidRPr="0009785F">
        <w:rPr>
          <w:rFonts w:cs="Arial"/>
          <w:sz w:val="24"/>
          <w:szCs w:val="24"/>
        </w:rPr>
        <w:t>La Pauca</w:t>
      </w:r>
      <w:r w:rsidR="00E03ED2">
        <w:rPr>
          <w:rFonts w:cs="Arial"/>
          <w:sz w:val="24"/>
          <w:szCs w:val="24"/>
        </w:rPr>
        <w:t>"</w:t>
      </w:r>
      <w:r w:rsidR="00E03ED2" w:rsidRPr="0009785F">
        <w:rPr>
          <w:rFonts w:cs="Arial"/>
          <w:sz w:val="24"/>
          <w:szCs w:val="24"/>
        </w:rPr>
        <w:t>; con una extensión superficial de aproximada de 24</w:t>
      </w:r>
      <w:r w:rsidR="00E03ED2">
        <w:rPr>
          <w:rFonts w:cs="Arial"/>
          <w:sz w:val="24"/>
          <w:szCs w:val="24"/>
        </w:rPr>
        <w:t xml:space="preserve"> </w:t>
      </w:r>
      <w:r w:rsidR="00E03ED2" w:rsidRPr="0009785F">
        <w:rPr>
          <w:rFonts w:cs="Arial"/>
          <w:sz w:val="24"/>
          <w:szCs w:val="24"/>
        </w:rPr>
        <w:t>340 m</w:t>
      </w:r>
      <w:r w:rsidRPr="0009785F">
        <w:rPr>
          <w:rFonts w:cs="Arial"/>
          <w:sz w:val="24"/>
          <w:szCs w:val="24"/>
        </w:rPr>
        <w:t>2.</w:t>
      </w:r>
    </w:p>
    <w:p w14:paraId="305D6DA3" w14:textId="3EEB6535" w:rsidR="0009785F" w:rsidRPr="0009785F" w:rsidRDefault="0009785F" w:rsidP="00332338">
      <w:pPr>
        <w:spacing w:before="120"/>
        <w:rPr>
          <w:rFonts w:cs="Arial"/>
          <w:sz w:val="24"/>
          <w:szCs w:val="24"/>
        </w:rPr>
      </w:pPr>
      <w:r w:rsidRPr="0009785F">
        <w:rPr>
          <w:rFonts w:cs="Arial"/>
          <w:sz w:val="24"/>
          <w:szCs w:val="24"/>
        </w:rPr>
        <w:t>P</w:t>
      </w:r>
      <w:r w:rsidR="00E03ED2" w:rsidRPr="0009785F">
        <w:rPr>
          <w:rFonts w:cs="Arial"/>
          <w:sz w:val="24"/>
          <w:szCs w:val="24"/>
        </w:rPr>
        <w:t>recisando que las características físicas (área, linderos y medidas perimétricas) del territorio comunal (predio matriz), se encuentran consignadas en la partida electrónica 02112201, del Registro de Predios de la Oficina Registral de Cajamarca</w:t>
      </w:r>
      <w:r w:rsidRPr="0009785F">
        <w:rPr>
          <w:rFonts w:cs="Arial"/>
          <w:sz w:val="24"/>
          <w:szCs w:val="24"/>
        </w:rPr>
        <w:t>.</w:t>
      </w:r>
    </w:p>
    <w:p w14:paraId="0B43CADA" w14:textId="67966D68" w:rsidR="0009785F" w:rsidRPr="0009785F" w:rsidRDefault="0009785F" w:rsidP="00332338">
      <w:pPr>
        <w:autoSpaceDE w:val="0"/>
        <w:autoSpaceDN w:val="0"/>
        <w:adjustRightInd w:val="0"/>
        <w:spacing w:before="120"/>
        <w:rPr>
          <w:rFonts w:cs="Arial"/>
          <w:sz w:val="24"/>
          <w:szCs w:val="24"/>
        </w:rPr>
      </w:pPr>
      <w:r w:rsidRPr="0009785F">
        <w:rPr>
          <w:rFonts w:cs="Arial"/>
          <w:sz w:val="24"/>
          <w:szCs w:val="24"/>
        </w:rPr>
        <w:t>(...)</w:t>
      </w:r>
      <w:r w:rsidR="00E03ED2">
        <w:rPr>
          <w:rFonts w:cs="Arial"/>
          <w:sz w:val="24"/>
          <w:szCs w:val="24"/>
        </w:rPr>
        <w:t>.</w:t>
      </w:r>
    </w:p>
    <w:p w14:paraId="42C9CF5B" w14:textId="6498A125" w:rsidR="0009785F" w:rsidRPr="0009785F" w:rsidRDefault="0009785F" w:rsidP="00332338">
      <w:pPr>
        <w:autoSpaceDE w:val="0"/>
        <w:autoSpaceDN w:val="0"/>
        <w:adjustRightInd w:val="0"/>
        <w:spacing w:before="120"/>
        <w:rPr>
          <w:rFonts w:cs="Arial"/>
          <w:b/>
          <w:bCs/>
          <w:sz w:val="24"/>
          <w:szCs w:val="24"/>
        </w:rPr>
      </w:pPr>
      <w:r w:rsidRPr="0009785F">
        <w:rPr>
          <w:rFonts w:cs="Arial"/>
          <w:b/>
          <w:bCs/>
          <w:sz w:val="24"/>
          <w:szCs w:val="24"/>
        </w:rPr>
        <w:t>1. D</w:t>
      </w:r>
      <w:r w:rsidR="00E03ED2" w:rsidRPr="0009785F">
        <w:rPr>
          <w:rFonts w:cs="Arial"/>
          <w:b/>
          <w:bCs/>
          <w:sz w:val="24"/>
          <w:szCs w:val="24"/>
        </w:rPr>
        <w:t>esignación de representantes y otorgamiento de facultades.</w:t>
      </w:r>
    </w:p>
    <w:p w14:paraId="5324BECF" w14:textId="46878020" w:rsidR="0009785F" w:rsidRPr="0009785F" w:rsidRDefault="0009785F" w:rsidP="00332338">
      <w:pPr>
        <w:autoSpaceDE w:val="0"/>
        <w:autoSpaceDN w:val="0"/>
        <w:adjustRightInd w:val="0"/>
        <w:spacing w:before="120"/>
        <w:rPr>
          <w:rFonts w:cs="Arial"/>
          <w:sz w:val="24"/>
          <w:szCs w:val="24"/>
        </w:rPr>
      </w:pPr>
      <w:r w:rsidRPr="0009785F">
        <w:rPr>
          <w:rFonts w:cs="Arial"/>
          <w:sz w:val="24"/>
          <w:szCs w:val="24"/>
        </w:rPr>
        <w:t>S</w:t>
      </w:r>
      <w:r w:rsidR="00E03ED2" w:rsidRPr="0009785F">
        <w:rPr>
          <w:rFonts w:cs="Arial"/>
          <w:sz w:val="24"/>
          <w:szCs w:val="24"/>
        </w:rPr>
        <w:t xml:space="preserve">eguidamente, el presidente manifiesta que, habiendo acordado en la presente asamblea la parcelación y/o subdivisión del predio inscrito en la partida </w:t>
      </w:r>
      <w:r w:rsidR="00E03ED2" w:rsidRPr="0009785F">
        <w:rPr>
          <w:rFonts w:cs="Arial"/>
          <w:sz w:val="24"/>
          <w:szCs w:val="24"/>
        </w:rPr>
        <w:lastRenderedPageBreak/>
        <w:t>electrónica 02112201, del Registro de Predios de la Oficina Registral de Cajamarca de Propiedad de la Comunidad Campesina Toled; es necesario designar al representante y/o representantes a fin que realicen los trámites administrativos de independización y/o subdivisión del territorio comunal; territorio comunal que se encuentra inscrito en la Partida Electrónica N.° 02112201, del Registro de Predios de la Oficina Registral de Cajamarca</w:t>
      </w:r>
      <w:r w:rsidRPr="0009785F">
        <w:rPr>
          <w:rFonts w:cs="Arial"/>
          <w:sz w:val="24"/>
          <w:szCs w:val="24"/>
        </w:rPr>
        <w:t>.</w:t>
      </w:r>
    </w:p>
    <w:p w14:paraId="43B8E27E" w14:textId="2AAD80DA" w:rsidR="0009785F" w:rsidRPr="0009785F" w:rsidRDefault="0009785F" w:rsidP="00332338">
      <w:pPr>
        <w:autoSpaceDE w:val="0"/>
        <w:autoSpaceDN w:val="0"/>
        <w:adjustRightInd w:val="0"/>
        <w:spacing w:before="120"/>
        <w:rPr>
          <w:rFonts w:cs="Arial"/>
          <w:sz w:val="24"/>
          <w:szCs w:val="24"/>
        </w:rPr>
      </w:pPr>
      <w:r w:rsidRPr="0009785F">
        <w:rPr>
          <w:rFonts w:cs="Arial"/>
          <w:sz w:val="24"/>
          <w:szCs w:val="24"/>
        </w:rPr>
        <w:t>I</w:t>
      </w:r>
      <w:r w:rsidR="00E03ED2" w:rsidRPr="0009785F">
        <w:rPr>
          <w:rFonts w:cs="Arial"/>
          <w:sz w:val="24"/>
          <w:szCs w:val="24"/>
        </w:rPr>
        <w:t xml:space="preserve">gualmente, se somete a debate el presente punto de agenda y después de una breve deliberación, se acuerda por unanimidad designar a los comuneros: señor </w:t>
      </w:r>
      <w:r w:rsidR="00E03ED2" w:rsidRPr="0009785F">
        <w:rPr>
          <w:rFonts w:cs="Arial"/>
          <w:b/>
          <w:bCs/>
          <w:sz w:val="24"/>
          <w:szCs w:val="24"/>
        </w:rPr>
        <w:t>Marcos Antonio Plasencia Uceda</w:t>
      </w:r>
      <w:r w:rsidR="00E03ED2" w:rsidRPr="0009785F">
        <w:rPr>
          <w:rFonts w:cs="Arial"/>
          <w:sz w:val="24"/>
          <w:szCs w:val="24"/>
        </w:rPr>
        <w:t xml:space="preserve">, identificado con DNI N.° </w:t>
      </w:r>
      <w:r w:rsidR="00E03ED2" w:rsidRPr="0009785F">
        <w:rPr>
          <w:rFonts w:cs="Arial"/>
          <w:b/>
          <w:bCs/>
          <w:sz w:val="24"/>
          <w:szCs w:val="24"/>
        </w:rPr>
        <w:t xml:space="preserve">27162269 </w:t>
      </w:r>
      <w:r w:rsidR="00E03ED2" w:rsidRPr="0009785F">
        <w:rPr>
          <w:rFonts w:cs="Arial"/>
          <w:sz w:val="24"/>
          <w:szCs w:val="24"/>
        </w:rPr>
        <w:t xml:space="preserve">y al señor </w:t>
      </w:r>
      <w:r w:rsidR="00E03ED2" w:rsidRPr="0009785F">
        <w:rPr>
          <w:rFonts w:cs="Arial"/>
          <w:b/>
          <w:bCs/>
          <w:sz w:val="24"/>
          <w:szCs w:val="24"/>
        </w:rPr>
        <w:t>Máximo Elvis Díaz Uceda</w:t>
      </w:r>
      <w:r w:rsidR="00E03ED2" w:rsidRPr="0009785F">
        <w:rPr>
          <w:rFonts w:cs="Arial"/>
          <w:sz w:val="24"/>
          <w:szCs w:val="24"/>
        </w:rPr>
        <w:t>, identificado con DNI N.° 70391457; a quienes en forma mancomunada por unanimidad se otorga las siguientes facultades</w:t>
      </w:r>
      <w:r w:rsidRPr="0009785F">
        <w:rPr>
          <w:rFonts w:cs="Arial"/>
          <w:sz w:val="24"/>
          <w:szCs w:val="24"/>
        </w:rPr>
        <w:t>:</w:t>
      </w:r>
    </w:p>
    <w:p w14:paraId="26D5C6B4" w14:textId="50F8D686" w:rsidR="0009785F" w:rsidRPr="0009785F" w:rsidRDefault="0009785F" w:rsidP="00332338">
      <w:pPr>
        <w:autoSpaceDE w:val="0"/>
        <w:autoSpaceDN w:val="0"/>
        <w:adjustRightInd w:val="0"/>
        <w:spacing w:before="120"/>
        <w:rPr>
          <w:rFonts w:cs="Arial"/>
          <w:sz w:val="24"/>
          <w:szCs w:val="24"/>
        </w:rPr>
      </w:pPr>
      <w:r w:rsidRPr="0009785F">
        <w:rPr>
          <w:rFonts w:cs="Arial"/>
          <w:sz w:val="24"/>
          <w:szCs w:val="24"/>
        </w:rPr>
        <w:t>(...)</w:t>
      </w:r>
      <w:r w:rsidR="00E03ED2">
        <w:rPr>
          <w:rFonts w:cs="Arial"/>
          <w:sz w:val="24"/>
          <w:szCs w:val="24"/>
        </w:rPr>
        <w:t>"</w:t>
      </w:r>
      <w:r w:rsidRPr="0009785F">
        <w:rPr>
          <w:rFonts w:cs="Arial"/>
          <w:sz w:val="24"/>
          <w:szCs w:val="24"/>
        </w:rPr>
        <w:t>.</w:t>
      </w:r>
    </w:p>
    <w:p w14:paraId="7234B371" w14:textId="77777777" w:rsidR="0009785F" w:rsidRPr="0009785F" w:rsidRDefault="0009785F" w:rsidP="00332338">
      <w:pPr>
        <w:autoSpaceDE w:val="0"/>
        <w:autoSpaceDN w:val="0"/>
        <w:adjustRightInd w:val="0"/>
        <w:spacing w:before="120"/>
        <w:rPr>
          <w:rFonts w:cs="Arial"/>
          <w:sz w:val="24"/>
          <w:szCs w:val="24"/>
        </w:rPr>
      </w:pPr>
      <w:r w:rsidRPr="0009785F">
        <w:rPr>
          <w:rFonts w:cs="Arial"/>
          <w:sz w:val="24"/>
          <w:szCs w:val="24"/>
        </w:rPr>
        <w:t>5. Ahora bien, conforme a lo antes expuesto, en la calificación de los poderes otorgados por las comunidades campesinas que faculten a sus apoderados a disponer o gravar los predios comunales, se requiere la indicación precisa del área y ubicación referencial del bien.</w:t>
      </w:r>
    </w:p>
    <w:p w14:paraId="6AD4DDE6" w14:textId="77777777" w:rsidR="0009785F" w:rsidRPr="0009785F" w:rsidRDefault="0009785F" w:rsidP="00332338">
      <w:pPr>
        <w:autoSpaceDE w:val="0"/>
        <w:autoSpaceDN w:val="0"/>
        <w:adjustRightInd w:val="0"/>
        <w:spacing w:before="120"/>
        <w:rPr>
          <w:rFonts w:cs="Arial"/>
          <w:sz w:val="24"/>
          <w:szCs w:val="24"/>
        </w:rPr>
      </w:pPr>
      <w:r w:rsidRPr="0009785F">
        <w:rPr>
          <w:rFonts w:cs="Arial"/>
          <w:sz w:val="24"/>
          <w:szCs w:val="24"/>
        </w:rPr>
        <w:t xml:space="preserve">En el presente caso, de acuerdo al texto expreso de la citada acta, el predio inscrito en la partida electrónica N.° 02112201 del Registro de Predios de Cajamarca, se va a parcelar, independizar o subdividir en ocho (8) sub lotes y un remanente, señalándose la denominación de cada uno de los sublotes y el área </w:t>
      </w:r>
      <w:r w:rsidRPr="0009785F">
        <w:rPr>
          <w:rFonts w:cs="Arial"/>
          <w:b/>
          <w:bCs/>
          <w:sz w:val="24"/>
          <w:szCs w:val="24"/>
        </w:rPr>
        <w:t xml:space="preserve">aproximada </w:t>
      </w:r>
      <w:r w:rsidRPr="0009785F">
        <w:rPr>
          <w:rFonts w:cs="Arial"/>
          <w:sz w:val="24"/>
          <w:szCs w:val="24"/>
        </w:rPr>
        <w:t>de cada uno de ellos.</w:t>
      </w:r>
    </w:p>
    <w:p w14:paraId="0351B778" w14:textId="77777777" w:rsidR="0009785F" w:rsidRPr="0009785F" w:rsidRDefault="0009785F" w:rsidP="00332338">
      <w:pPr>
        <w:autoSpaceDE w:val="0"/>
        <w:autoSpaceDN w:val="0"/>
        <w:adjustRightInd w:val="0"/>
        <w:spacing w:before="120"/>
        <w:rPr>
          <w:rFonts w:cs="Arial"/>
          <w:sz w:val="24"/>
          <w:szCs w:val="24"/>
        </w:rPr>
      </w:pPr>
      <w:r w:rsidRPr="0009785F">
        <w:rPr>
          <w:rFonts w:cs="Arial"/>
          <w:sz w:val="24"/>
          <w:szCs w:val="24"/>
        </w:rPr>
        <w:t>De ello puede concluirse que no se ha cumplido con el precitado acuerdo adoptado en el CXXXI Pleno Registral mediante el cual se interpretó la directiva antes mencionada, dado que el otorgamiento de facultades no se efectuó con precisión de las características físicas de los predios a disponer ya que los mismos no cuentan con un área determinada.</w:t>
      </w:r>
    </w:p>
    <w:p w14:paraId="70F83442" w14:textId="77777777" w:rsidR="0009785F" w:rsidRPr="0009785F" w:rsidRDefault="0009785F" w:rsidP="00332338">
      <w:pPr>
        <w:spacing w:before="120"/>
        <w:rPr>
          <w:rFonts w:cs="Arial"/>
          <w:sz w:val="24"/>
          <w:szCs w:val="24"/>
        </w:rPr>
      </w:pPr>
      <w:r w:rsidRPr="0009785F">
        <w:rPr>
          <w:rFonts w:cs="Arial"/>
          <w:sz w:val="24"/>
          <w:szCs w:val="24"/>
        </w:rPr>
        <w:t xml:space="preserve">En ese sentido, corresponde </w:t>
      </w:r>
      <w:r w:rsidRPr="0009785F">
        <w:rPr>
          <w:rFonts w:cs="Arial"/>
          <w:b/>
          <w:bCs/>
          <w:sz w:val="24"/>
          <w:szCs w:val="24"/>
        </w:rPr>
        <w:t xml:space="preserve">confirmar la denegatoria de inscripción </w:t>
      </w:r>
      <w:r w:rsidRPr="0009785F">
        <w:rPr>
          <w:rFonts w:cs="Arial"/>
          <w:sz w:val="24"/>
          <w:szCs w:val="24"/>
        </w:rPr>
        <w:t>dispuesta por la primera instancia.</w:t>
      </w:r>
    </w:p>
    <w:p w14:paraId="7CF9B49F" w14:textId="77777777" w:rsidR="0009785F" w:rsidRPr="0009785F" w:rsidRDefault="0009785F" w:rsidP="00332338">
      <w:pPr>
        <w:autoSpaceDE w:val="0"/>
        <w:autoSpaceDN w:val="0"/>
        <w:adjustRightInd w:val="0"/>
        <w:spacing w:before="120"/>
        <w:rPr>
          <w:rFonts w:cs="Arial"/>
          <w:sz w:val="24"/>
          <w:szCs w:val="24"/>
        </w:rPr>
      </w:pPr>
      <w:r w:rsidRPr="0009785F">
        <w:rPr>
          <w:rFonts w:cs="Arial"/>
          <w:sz w:val="24"/>
          <w:szCs w:val="24"/>
        </w:rPr>
        <w:t>6. Finalmente, respecto de lo indicado por el usuario en el escrito de apelación en el sentido que el predio se encuentra identificado por cuanto se ha señalado que obra inscrito en la partida N.° 2112201 del Registro de Predios de Cajamarca, cabe precisar que dicha partida corresponde al predio matriz y no a los predios resultantes de la parcelación o subdivisión, materia del otorgamiento de facultades.</w:t>
      </w:r>
    </w:p>
    <w:p w14:paraId="12933738" w14:textId="77777777" w:rsidR="0009785F" w:rsidRPr="0009785F" w:rsidRDefault="0009785F" w:rsidP="00332338">
      <w:pPr>
        <w:autoSpaceDE w:val="0"/>
        <w:autoSpaceDN w:val="0"/>
        <w:adjustRightInd w:val="0"/>
        <w:spacing w:before="120"/>
        <w:rPr>
          <w:rFonts w:cs="Arial"/>
          <w:sz w:val="24"/>
          <w:szCs w:val="24"/>
        </w:rPr>
      </w:pPr>
      <w:r w:rsidRPr="0009785F">
        <w:rPr>
          <w:rFonts w:cs="Arial"/>
          <w:sz w:val="24"/>
          <w:szCs w:val="24"/>
        </w:rPr>
        <w:t>Estando a lo acordado por unanimidad;</w:t>
      </w:r>
    </w:p>
    <w:p w14:paraId="34BA11C6" w14:textId="77777777" w:rsidR="0009785F" w:rsidRPr="0009785F" w:rsidRDefault="0009785F" w:rsidP="00332338">
      <w:pPr>
        <w:autoSpaceDE w:val="0"/>
        <w:autoSpaceDN w:val="0"/>
        <w:adjustRightInd w:val="0"/>
        <w:spacing w:before="120"/>
        <w:rPr>
          <w:rFonts w:cs="Arial"/>
          <w:b/>
          <w:bCs/>
          <w:sz w:val="24"/>
          <w:szCs w:val="24"/>
        </w:rPr>
      </w:pPr>
      <w:r w:rsidRPr="0009785F">
        <w:rPr>
          <w:rFonts w:cs="Arial"/>
          <w:b/>
          <w:bCs/>
          <w:sz w:val="24"/>
          <w:szCs w:val="24"/>
        </w:rPr>
        <w:t>VII. Resolución</w:t>
      </w:r>
    </w:p>
    <w:p w14:paraId="614895C5" w14:textId="77777777" w:rsidR="0009785F" w:rsidRPr="0009785F" w:rsidRDefault="0009785F" w:rsidP="00332338">
      <w:pPr>
        <w:autoSpaceDE w:val="0"/>
        <w:autoSpaceDN w:val="0"/>
        <w:adjustRightInd w:val="0"/>
        <w:spacing w:before="120"/>
        <w:rPr>
          <w:rFonts w:cs="Arial"/>
          <w:sz w:val="24"/>
          <w:szCs w:val="24"/>
        </w:rPr>
      </w:pPr>
      <w:r w:rsidRPr="0009785F">
        <w:rPr>
          <w:rFonts w:cs="Arial"/>
          <w:b/>
          <w:bCs/>
          <w:sz w:val="24"/>
          <w:szCs w:val="24"/>
        </w:rPr>
        <w:t xml:space="preserve">Confirmar </w:t>
      </w:r>
      <w:r w:rsidRPr="0009785F">
        <w:rPr>
          <w:rFonts w:cs="Arial"/>
          <w:sz w:val="24"/>
          <w:szCs w:val="24"/>
        </w:rPr>
        <w:t>la denegatoria de inscripción formulada por la registradora pública (e) del Registro de Predios de Cajamarca al título referido en el encabezamiento, conforme a los fundamentos expuestos en la presente resolución.</w:t>
      </w:r>
    </w:p>
    <w:p w14:paraId="38A6934A" w14:textId="77777777" w:rsidR="0009785F" w:rsidRPr="0009785F" w:rsidRDefault="0009785F" w:rsidP="00332338">
      <w:pPr>
        <w:autoSpaceDE w:val="0"/>
        <w:autoSpaceDN w:val="0"/>
        <w:adjustRightInd w:val="0"/>
        <w:spacing w:before="120"/>
        <w:jc w:val="center"/>
        <w:rPr>
          <w:rFonts w:cs="Arial"/>
          <w:b/>
          <w:bCs/>
          <w:sz w:val="24"/>
          <w:szCs w:val="24"/>
        </w:rPr>
      </w:pPr>
      <w:r w:rsidRPr="0009785F">
        <w:rPr>
          <w:rFonts w:cs="Arial"/>
          <w:b/>
          <w:bCs/>
          <w:sz w:val="24"/>
          <w:szCs w:val="24"/>
        </w:rPr>
        <w:t>Regístrese y comuníquese.</w:t>
      </w:r>
    </w:p>
    <w:p w14:paraId="696D46DC" w14:textId="77777777" w:rsidR="0009785F" w:rsidRPr="0009785F" w:rsidRDefault="0009785F" w:rsidP="00332338">
      <w:pPr>
        <w:autoSpaceDE w:val="0"/>
        <w:autoSpaceDN w:val="0"/>
        <w:adjustRightInd w:val="0"/>
        <w:spacing w:before="120"/>
        <w:rPr>
          <w:rFonts w:cs="Arial"/>
          <w:b/>
          <w:bCs/>
          <w:sz w:val="24"/>
          <w:szCs w:val="24"/>
        </w:rPr>
      </w:pPr>
      <w:r w:rsidRPr="0009785F">
        <w:rPr>
          <w:rFonts w:cs="Arial"/>
          <w:b/>
          <w:bCs/>
          <w:sz w:val="24"/>
          <w:szCs w:val="24"/>
        </w:rPr>
        <w:t>Fdo.</w:t>
      </w:r>
    </w:p>
    <w:p w14:paraId="204462FB" w14:textId="77777777" w:rsidR="0009785F" w:rsidRPr="0009785F" w:rsidRDefault="0009785F" w:rsidP="00332338">
      <w:pPr>
        <w:autoSpaceDE w:val="0"/>
        <w:autoSpaceDN w:val="0"/>
        <w:adjustRightInd w:val="0"/>
        <w:spacing w:before="120"/>
        <w:rPr>
          <w:rFonts w:cs="Arial"/>
          <w:b/>
          <w:bCs/>
          <w:sz w:val="24"/>
          <w:szCs w:val="24"/>
        </w:rPr>
      </w:pPr>
      <w:r w:rsidRPr="0009785F">
        <w:rPr>
          <w:rFonts w:cs="Arial"/>
          <w:b/>
          <w:bCs/>
          <w:sz w:val="24"/>
          <w:szCs w:val="24"/>
        </w:rPr>
        <w:lastRenderedPageBreak/>
        <w:t>Gilmer Marrufo Aguilar</w:t>
      </w:r>
    </w:p>
    <w:p w14:paraId="7A95F0BA" w14:textId="77777777" w:rsidR="0009785F" w:rsidRPr="0009785F" w:rsidRDefault="0009785F" w:rsidP="00332338">
      <w:pPr>
        <w:autoSpaceDE w:val="0"/>
        <w:autoSpaceDN w:val="0"/>
        <w:adjustRightInd w:val="0"/>
        <w:spacing w:before="120"/>
        <w:rPr>
          <w:rFonts w:cs="Arial"/>
          <w:sz w:val="24"/>
          <w:szCs w:val="24"/>
        </w:rPr>
      </w:pPr>
      <w:r w:rsidRPr="0009785F">
        <w:rPr>
          <w:rFonts w:cs="Arial"/>
          <w:sz w:val="24"/>
          <w:szCs w:val="24"/>
        </w:rPr>
        <w:t>Presidente de la Primera Sala del Tribunal Registral</w:t>
      </w:r>
    </w:p>
    <w:p w14:paraId="6540FC97" w14:textId="77777777" w:rsidR="0009785F" w:rsidRPr="0009785F" w:rsidRDefault="0009785F" w:rsidP="00332338">
      <w:pPr>
        <w:autoSpaceDE w:val="0"/>
        <w:autoSpaceDN w:val="0"/>
        <w:adjustRightInd w:val="0"/>
        <w:spacing w:before="120"/>
        <w:rPr>
          <w:rFonts w:cs="Arial"/>
          <w:b/>
          <w:bCs/>
          <w:sz w:val="24"/>
          <w:szCs w:val="24"/>
        </w:rPr>
      </w:pPr>
      <w:r w:rsidRPr="0009785F">
        <w:rPr>
          <w:rFonts w:cs="Arial"/>
          <w:b/>
          <w:bCs/>
          <w:sz w:val="24"/>
          <w:szCs w:val="24"/>
        </w:rPr>
        <w:t>Gloria Amparo Salvatierra Valdivia</w:t>
      </w:r>
    </w:p>
    <w:p w14:paraId="092711CA" w14:textId="77777777" w:rsidR="0009785F" w:rsidRPr="0009785F" w:rsidRDefault="0009785F" w:rsidP="00332338">
      <w:pPr>
        <w:autoSpaceDE w:val="0"/>
        <w:autoSpaceDN w:val="0"/>
        <w:adjustRightInd w:val="0"/>
        <w:spacing w:before="120"/>
        <w:rPr>
          <w:rFonts w:cs="Arial"/>
          <w:sz w:val="24"/>
          <w:szCs w:val="24"/>
        </w:rPr>
      </w:pPr>
      <w:r w:rsidRPr="0009785F">
        <w:rPr>
          <w:rFonts w:cs="Arial"/>
          <w:sz w:val="24"/>
          <w:szCs w:val="24"/>
        </w:rPr>
        <w:t>Vocal del Tribunal Registral</w:t>
      </w:r>
    </w:p>
    <w:p w14:paraId="3AE21932" w14:textId="77777777" w:rsidR="0009785F" w:rsidRPr="0009785F" w:rsidRDefault="0009785F" w:rsidP="00332338">
      <w:pPr>
        <w:autoSpaceDE w:val="0"/>
        <w:autoSpaceDN w:val="0"/>
        <w:adjustRightInd w:val="0"/>
        <w:spacing w:before="120"/>
        <w:rPr>
          <w:rFonts w:cs="Arial"/>
          <w:b/>
          <w:bCs/>
          <w:sz w:val="24"/>
          <w:szCs w:val="24"/>
        </w:rPr>
      </w:pPr>
      <w:r w:rsidRPr="0009785F">
        <w:rPr>
          <w:rFonts w:cs="Arial"/>
          <w:b/>
          <w:bCs/>
          <w:sz w:val="24"/>
          <w:szCs w:val="24"/>
        </w:rPr>
        <w:t>Roberto Carlos Luna Chumbi</w:t>
      </w:r>
    </w:p>
    <w:p w14:paraId="0EED7074" w14:textId="77777777" w:rsidR="0009785F" w:rsidRPr="0009785F" w:rsidRDefault="0009785F" w:rsidP="00332338">
      <w:pPr>
        <w:spacing w:before="120"/>
        <w:rPr>
          <w:rFonts w:cs="Arial"/>
          <w:sz w:val="24"/>
          <w:szCs w:val="24"/>
        </w:rPr>
      </w:pPr>
      <w:r w:rsidRPr="0009785F">
        <w:rPr>
          <w:rFonts w:cs="Arial"/>
          <w:sz w:val="24"/>
          <w:szCs w:val="24"/>
        </w:rPr>
        <w:t>Vocal del Tribunal Registral</w:t>
      </w:r>
    </w:p>
    <w:p w14:paraId="45FFCB16" w14:textId="77777777" w:rsidR="0009785F" w:rsidRPr="0009785F" w:rsidRDefault="0009785F" w:rsidP="00332338">
      <w:pPr>
        <w:spacing w:before="120"/>
        <w:rPr>
          <w:rFonts w:cs="Arial"/>
          <w:sz w:val="24"/>
          <w:szCs w:val="24"/>
        </w:rPr>
      </w:pPr>
      <w:r w:rsidRPr="0009785F">
        <w:rPr>
          <w:rFonts w:cs="Arial"/>
          <w:sz w:val="24"/>
          <w:szCs w:val="24"/>
        </w:rPr>
        <w:t>__________</w:t>
      </w:r>
    </w:p>
    <w:p w14:paraId="011EE6A2" w14:textId="77777777" w:rsidR="0009785F" w:rsidRPr="0009785F" w:rsidRDefault="0009785F" w:rsidP="00332338">
      <w:pPr>
        <w:autoSpaceDE w:val="0"/>
        <w:autoSpaceDN w:val="0"/>
        <w:adjustRightInd w:val="0"/>
        <w:spacing w:before="120"/>
        <w:rPr>
          <w:rFonts w:cs="Arial"/>
          <w:szCs w:val="24"/>
        </w:rPr>
      </w:pPr>
      <w:r w:rsidRPr="0009785F">
        <w:rPr>
          <w:rFonts w:cs="Arial"/>
          <w:szCs w:val="24"/>
        </w:rPr>
        <w:t>1 Publicada en el Diario Oficial El Peruano el 18/12/2013.</w:t>
      </w:r>
    </w:p>
    <w:p w14:paraId="19828DF3" w14:textId="0A01BC0A" w:rsidR="0009785F" w:rsidRPr="0009785F" w:rsidRDefault="0009785F" w:rsidP="00332338">
      <w:pPr>
        <w:spacing w:before="120"/>
        <w:rPr>
          <w:rFonts w:cs="Arial"/>
          <w:szCs w:val="24"/>
        </w:rPr>
      </w:pPr>
      <w:r w:rsidRPr="0009785F">
        <w:rPr>
          <w:rFonts w:cs="Arial"/>
          <w:szCs w:val="24"/>
        </w:rPr>
        <w:t xml:space="preserve">2 Conforme al artículo quinto de la citada resolución que dispuso: Artículo Quinto.- Disponer que la presente directiva entrará en vigencia a los cuarenta (40) días hábiles contados desde el día siguiente de su publicación en el Diario Oficial </w:t>
      </w:r>
      <w:r w:rsidR="00E03ED2">
        <w:rPr>
          <w:rFonts w:cs="Arial"/>
          <w:szCs w:val="24"/>
        </w:rPr>
        <w:t>"</w:t>
      </w:r>
      <w:r w:rsidRPr="0009785F">
        <w:rPr>
          <w:rFonts w:cs="Arial"/>
          <w:szCs w:val="24"/>
        </w:rPr>
        <w:t>El Peruano</w:t>
      </w:r>
      <w:r w:rsidR="00E03ED2">
        <w:rPr>
          <w:rFonts w:cs="Arial"/>
          <w:szCs w:val="24"/>
        </w:rPr>
        <w:t>".</w:t>
      </w:r>
    </w:p>
    <w:p w14:paraId="38CFF1EA" w14:textId="0A0CAD17" w:rsidR="002017D0" w:rsidRPr="0009785F" w:rsidRDefault="0009785F" w:rsidP="00332338">
      <w:pPr>
        <w:spacing w:before="120"/>
        <w:jc w:val="center"/>
        <w:rPr>
          <w:rFonts w:cs="Arial"/>
        </w:rPr>
      </w:pPr>
      <w:r w:rsidRPr="0009785F">
        <w:rPr>
          <w:rFonts w:cs="Arial"/>
        </w:rPr>
        <w:t>Documento publicado en la página web del Tribunal Registral.</w:t>
      </w:r>
    </w:p>
    <w:sectPr w:rsidR="002017D0" w:rsidRPr="0009785F">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E493EC" w14:textId="77777777" w:rsidR="00DB5DB0" w:rsidRDefault="00DB5DB0" w:rsidP="0009785F">
      <w:r>
        <w:separator/>
      </w:r>
    </w:p>
  </w:endnote>
  <w:endnote w:type="continuationSeparator" w:id="0">
    <w:p w14:paraId="405172CE" w14:textId="77777777" w:rsidR="00DB5DB0" w:rsidRDefault="00DB5DB0" w:rsidP="00097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9A9E95" w14:textId="0D5E429E" w:rsidR="0009785F" w:rsidRPr="007714CB" w:rsidRDefault="0009785F" w:rsidP="007714CB">
    <w:pPr>
      <w:pStyle w:val="Piedepgina"/>
      <w:spacing w:before="120"/>
      <w:jc w:val="center"/>
      <w:rPr>
        <w:rFonts w:ascii="Calibri" w:hAnsi="Calibri"/>
      </w:rPr>
    </w:pPr>
    <w:r w:rsidRPr="00ED2292">
      <w:rPr>
        <w:rFonts w:ascii="Calibri" w:hAnsi="Calibri"/>
      </w:rPr>
      <w:t xml:space="preserve">Un desarrollo especializado de         </w:t>
    </w:r>
    <w:r>
      <w:rPr>
        <w:rFonts w:ascii="Calibri" w:hAnsi="Calibri"/>
        <w:noProof/>
        <w:lang w:eastAsia="es-PE"/>
      </w:rPr>
      <w:drawing>
        <wp:inline distT="0" distB="0" distL="0" distR="0" wp14:anchorId="71617903" wp14:editId="14E8DC73">
          <wp:extent cx="1276350" cy="3048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30480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97F1B8" w14:textId="77777777" w:rsidR="00DB5DB0" w:rsidRDefault="00DB5DB0" w:rsidP="0009785F">
      <w:r>
        <w:separator/>
      </w:r>
    </w:p>
  </w:footnote>
  <w:footnote w:type="continuationSeparator" w:id="0">
    <w:p w14:paraId="3CA0750E" w14:textId="77777777" w:rsidR="00DB5DB0" w:rsidRDefault="00DB5DB0" w:rsidP="000978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8EB780" w14:textId="1CA77E20" w:rsidR="0009785F" w:rsidRDefault="0009785F" w:rsidP="007714CB">
    <w:pPr>
      <w:pStyle w:val="Encabezado"/>
      <w:spacing w:after="240"/>
    </w:pPr>
    <w:r>
      <w:rPr>
        <w:noProof/>
        <w:lang w:eastAsia="es-PE"/>
      </w:rPr>
      <w:drawing>
        <wp:inline distT="0" distB="0" distL="0" distR="0" wp14:anchorId="45372FD4" wp14:editId="08CC3204">
          <wp:extent cx="1504950" cy="5334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4950" cy="5334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97A8AE"/>
    <w:multiLevelType w:val="hybridMultilevel"/>
    <w:tmpl w:val="F9B82A7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785F"/>
    <w:rsid w:val="0002405D"/>
    <w:rsid w:val="000526BE"/>
    <w:rsid w:val="00096CEC"/>
    <w:rsid w:val="0009785F"/>
    <w:rsid w:val="00133291"/>
    <w:rsid w:val="002017D0"/>
    <w:rsid w:val="00332338"/>
    <w:rsid w:val="00580259"/>
    <w:rsid w:val="00615327"/>
    <w:rsid w:val="007714CB"/>
    <w:rsid w:val="007F0EA7"/>
    <w:rsid w:val="008066EB"/>
    <w:rsid w:val="008F2267"/>
    <w:rsid w:val="00AA3083"/>
    <w:rsid w:val="00BB3261"/>
    <w:rsid w:val="00C32D53"/>
    <w:rsid w:val="00D361DE"/>
    <w:rsid w:val="00DB5DB0"/>
    <w:rsid w:val="00E03ED2"/>
    <w:rsid w:val="00F22DD5"/>
    <w:rsid w:val="00F3724D"/>
    <w:rsid w:val="00FF7FD8"/>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E1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785F"/>
    <w:pPr>
      <w:spacing w:after="0" w:line="240" w:lineRule="auto"/>
      <w:jc w:val="both"/>
    </w:pPr>
    <w:rPr>
      <w:rFonts w:ascii="Arial" w:hAnsi="Arial"/>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basedOn w:val="Normal"/>
    <w:qFormat/>
    <w:rsid w:val="008F2267"/>
    <w:pPr>
      <w:spacing w:before="120"/>
    </w:pPr>
    <w:rPr>
      <w:rFonts w:ascii="Arial Narrow" w:hAnsi="Arial Narrow"/>
      <w:sz w:val="24"/>
    </w:rPr>
  </w:style>
  <w:style w:type="paragraph" w:customStyle="1" w:styleId="TITULOA">
    <w:name w:val="TITULO A"/>
    <w:basedOn w:val="NORMAL1"/>
    <w:qFormat/>
    <w:rsid w:val="008F2267"/>
    <w:pPr>
      <w:jc w:val="center"/>
    </w:pPr>
    <w:rPr>
      <w:b/>
      <w:bCs/>
    </w:rPr>
  </w:style>
  <w:style w:type="paragraph" w:customStyle="1" w:styleId="TABLA">
    <w:name w:val="TABLA"/>
    <w:basedOn w:val="NORMAL1"/>
    <w:qFormat/>
    <w:rsid w:val="008F2267"/>
    <w:rPr>
      <w:b/>
      <w:bCs/>
    </w:rPr>
  </w:style>
  <w:style w:type="paragraph" w:styleId="Encabezado">
    <w:name w:val="header"/>
    <w:basedOn w:val="Normal"/>
    <w:link w:val="EncabezadoCar"/>
    <w:uiPriority w:val="99"/>
    <w:unhideWhenUsed/>
    <w:rsid w:val="0009785F"/>
    <w:pPr>
      <w:tabs>
        <w:tab w:val="center" w:pos="4252"/>
        <w:tab w:val="right" w:pos="8504"/>
      </w:tabs>
    </w:pPr>
  </w:style>
  <w:style w:type="character" w:customStyle="1" w:styleId="EncabezadoCar">
    <w:name w:val="Encabezado Car"/>
    <w:basedOn w:val="Fuentedeprrafopredeter"/>
    <w:link w:val="Encabezado"/>
    <w:uiPriority w:val="99"/>
    <w:rsid w:val="0009785F"/>
    <w:rPr>
      <w:rFonts w:ascii="Arial" w:hAnsi="Arial"/>
      <w:sz w:val="20"/>
    </w:rPr>
  </w:style>
  <w:style w:type="paragraph" w:styleId="Piedepgina">
    <w:name w:val="footer"/>
    <w:basedOn w:val="Normal"/>
    <w:link w:val="PiedepginaCar"/>
    <w:uiPriority w:val="99"/>
    <w:unhideWhenUsed/>
    <w:rsid w:val="0009785F"/>
    <w:pPr>
      <w:tabs>
        <w:tab w:val="center" w:pos="4252"/>
        <w:tab w:val="right" w:pos="8504"/>
      </w:tabs>
    </w:pPr>
  </w:style>
  <w:style w:type="character" w:customStyle="1" w:styleId="PiedepginaCar">
    <w:name w:val="Pie de página Car"/>
    <w:basedOn w:val="Fuentedeprrafopredeter"/>
    <w:link w:val="Piedepgina"/>
    <w:uiPriority w:val="99"/>
    <w:rsid w:val="0009785F"/>
    <w:rPr>
      <w:rFonts w:ascii="Arial" w:hAnsi="Arial"/>
      <w:sz w:val="20"/>
    </w:rPr>
  </w:style>
  <w:style w:type="paragraph" w:customStyle="1" w:styleId="Default">
    <w:name w:val="Default"/>
    <w:rsid w:val="0009785F"/>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7714CB"/>
    <w:rPr>
      <w:rFonts w:ascii="Tahoma" w:hAnsi="Tahoma" w:cs="Tahoma"/>
      <w:sz w:val="16"/>
      <w:szCs w:val="16"/>
    </w:rPr>
  </w:style>
  <w:style w:type="character" w:customStyle="1" w:styleId="TextodegloboCar">
    <w:name w:val="Texto de globo Car"/>
    <w:basedOn w:val="Fuentedeprrafopredeter"/>
    <w:link w:val="Textodeglobo"/>
    <w:uiPriority w:val="99"/>
    <w:semiHidden/>
    <w:rsid w:val="007714C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785F"/>
    <w:pPr>
      <w:spacing w:after="0" w:line="240" w:lineRule="auto"/>
      <w:jc w:val="both"/>
    </w:pPr>
    <w:rPr>
      <w:rFonts w:ascii="Arial" w:hAnsi="Arial"/>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basedOn w:val="Normal"/>
    <w:qFormat/>
    <w:rsid w:val="008F2267"/>
    <w:pPr>
      <w:spacing w:before="120"/>
    </w:pPr>
    <w:rPr>
      <w:rFonts w:ascii="Arial Narrow" w:hAnsi="Arial Narrow"/>
      <w:sz w:val="24"/>
    </w:rPr>
  </w:style>
  <w:style w:type="paragraph" w:customStyle="1" w:styleId="TITULOA">
    <w:name w:val="TITULO A"/>
    <w:basedOn w:val="NORMAL1"/>
    <w:qFormat/>
    <w:rsid w:val="008F2267"/>
    <w:pPr>
      <w:jc w:val="center"/>
    </w:pPr>
    <w:rPr>
      <w:b/>
      <w:bCs/>
    </w:rPr>
  </w:style>
  <w:style w:type="paragraph" w:customStyle="1" w:styleId="TABLA">
    <w:name w:val="TABLA"/>
    <w:basedOn w:val="NORMAL1"/>
    <w:qFormat/>
    <w:rsid w:val="008F2267"/>
    <w:rPr>
      <w:b/>
      <w:bCs/>
    </w:rPr>
  </w:style>
  <w:style w:type="paragraph" w:styleId="Encabezado">
    <w:name w:val="header"/>
    <w:basedOn w:val="Normal"/>
    <w:link w:val="EncabezadoCar"/>
    <w:uiPriority w:val="99"/>
    <w:unhideWhenUsed/>
    <w:rsid w:val="0009785F"/>
    <w:pPr>
      <w:tabs>
        <w:tab w:val="center" w:pos="4252"/>
        <w:tab w:val="right" w:pos="8504"/>
      </w:tabs>
    </w:pPr>
  </w:style>
  <w:style w:type="character" w:customStyle="1" w:styleId="EncabezadoCar">
    <w:name w:val="Encabezado Car"/>
    <w:basedOn w:val="Fuentedeprrafopredeter"/>
    <w:link w:val="Encabezado"/>
    <w:uiPriority w:val="99"/>
    <w:rsid w:val="0009785F"/>
    <w:rPr>
      <w:rFonts w:ascii="Arial" w:hAnsi="Arial"/>
      <w:sz w:val="20"/>
    </w:rPr>
  </w:style>
  <w:style w:type="paragraph" w:styleId="Piedepgina">
    <w:name w:val="footer"/>
    <w:basedOn w:val="Normal"/>
    <w:link w:val="PiedepginaCar"/>
    <w:uiPriority w:val="99"/>
    <w:unhideWhenUsed/>
    <w:rsid w:val="0009785F"/>
    <w:pPr>
      <w:tabs>
        <w:tab w:val="center" w:pos="4252"/>
        <w:tab w:val="right" w:pos="8504"/>
      </w:tabs>
    </w:pPr>
  </w:style>
  <w:style w:type="character" w:customStyle="1" w:styleId="PiedepginaCar">
    <w:name w:val="Pie de página Car"/>
    <w:basedOn w:val="Fuentedeprrafopredeter"/>
    <w:link w:val="Piedepgina"/>
    <w:uiPriority w:val="99"/>
    <w:rsid w:val="0009785F"/>
    <w:rPr>
      <w:rFonts w:ascii="Arial" w:hAnsi="Arial"/>
      <w:sz w:val="20"/>
    </w:rPr>
  </w:style>
  <w:style w:type="paragraph" w:customStyle="1" w:styleId="Default">
    <w:name w:val="Default"/>
    <w:rsid w:val="0009785F"/>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7714CB"/>
    <w:rPr>
      <w:rFonts w:ascii="Tahoma" w:hAnsi="Tahoma" w:cs="Tahoma"/>
      <w:sz w:val="16"/>
      <w:szCs w:val="16"/>
    </w:rPr>
  </w:style>
  <w:style w:type="character" w:customStyle="1" w:styleId="TextodegloboCar">
    <w:name w:val="Texto de globo Car"/>
    <w:basedOn w:val="Fuentedeprrafopredeter"/>
    <w:link w:val="Textodeglobo"/>
    <w:uiPriority w:val="99"/>
    <w:semiHidden/>
    <w:rsid w:val="007714C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8</Pages>
  <Words>2910</Words>
  <Characters>16011</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J E A ***</dc:creator>
  <cp:keywords/>
  <dc:description/>
  <cp:lastModifiedBy>Carolina Herrera Pecart</cp:lastModifiedBy>
  <cp:revision>3</cp:revision>
  <dcterms:created xsi:type="dcterms:W3CDTF">2024-05-20T15:04:00Z</dcterms:created>
  <dcterms:modified xsi:type="dcterms:W3CDTF">2024-05-20T22:33:00Z</dcterms:modified>
</cp:coreProperties>
</file>