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C8652" w14:textId="7D138611" w:rsidR="00431F66" w:rsidRPr="00431F66" w:rsidRDefault="00431F66" w:rsidP="00431F66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431F66">
        <w:rPr>
          <w:b/>
          <w:sz w:val="24"/>
          <w:szCs w:val="24"/>
        </w:rPr>
        <w:t>Aprueban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ordenanza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que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establece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el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procedimiento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para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devolución,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compensación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transferencia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pagos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indebidos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y/o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exceso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deudas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tributarias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el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distrito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Los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Olivos</w:t>
      </w:r>
    </w:p>
    <w:p w14:paraId="4999B036" w14:textId="615FF650" w:rsidR="00431F66" w:rsidRPr="00431F66" w:rsidRDefault="00431F66" w:rsidP="00431F66">
      <w:pPr>
        <w:spacing w:before="120"/>
        <w:jc w:val="center"/>
        <w:rPr>
          <w:b/>
          <w:sz w:val="24"/>
          <w:szCs w:val="24"/>
        </w:rPr>
      </w:pPr>
      <w:r w:rsidRPr="00431F66">
        <w:rPr>
          <w:b/>
          <w:sz w:val="24"/>
          <w:szCs w:val="24"/>
        </w:rPr>
        <w:t>Ordenanza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N.°</w:t>
      </w:r>
      <w:r>
        <w:rPr>
          <w:b/>
          <w:sz w:val="24"/>
          <w:szCs w:val="24"/>
        </w:rPr>
        <w:t xml:space="preserve"> </w:t>
      </w:r>
      <w:r w:rsidRPr="00431F66">
        <w:rPr>
          <w:b/>
          <w:sz w:val="24"/>
          <w:szCs w:val="24"/>
        </w:rPr>
        <w:t>591</w:t>
      </w:r>
      <w:r>
        <w:rPr>
          <w:b/>
          <w:sz w:val="24"/>
          <w:szCs w:val="24"/>
        </w:rPr>
        <w:t>-</w:t>
      </w:r>
      <w:r w:rsidRPr="00431F66">
        <w:rPr>
          <w:b/>
          <w:sz w:val="24"/>
          <w:szCs w:val="24"/>
        </w:rPr>
        <w:t>CDLO</w:t>
      </w:r>
    </w:p>
    <w:p w14:paraId="2809D8D7" w14:textId="47DB4322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2024</w:t>
      </w:r>
    </w:p>
    <w:p w14:paraId="1CD0860D" w14:textId="774A2AD0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Distrital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</w:t>
      </w:r>
    </w:p>
    <w:p w14:paraId="06B36151" w14:textId="47899547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Vistos: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179-2024-MDLO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GATR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SGR,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Subgerencia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Recaudación,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035-2024-MDLO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GATR,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Rentas,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127-2024-OPMPI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MDLO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Planeamiento,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Modernización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Programación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Inversiones,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095-2024-OGPP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MDLO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Planeamiento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Presupuesto,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144-2024-MDLO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OGAJ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Jurídica,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Proveído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1469-2024-MDLO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GM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y;</w:t>
      </w:r>
    </w:p>
    <w:p w14:paraId="2AA90392" w14:textId="75044A4F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Considerando:</w:t>
      </w:r>
    </w:p>
    <w:p w14:paraId="30FAB2C9" w14:textId="0784A342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establecido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194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Constitución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Política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Perú,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concordante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Título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Preliminar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Orgánica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Municipalidades,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27972,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gobiernos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locales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gozan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autonomía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política,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económica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administrativa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asuntos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competencia;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dicha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autonomía,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radica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facultad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ejercer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actos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gobierno,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administrativos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administración;</w:t>
      </w:r>
    </w:p>
    <w:p w14:paraId="1CA98C15" w14:textId="04631868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Asimismo,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VIII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Título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Preliminar,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"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gobiernos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locales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están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sujetos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leyes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disposiciones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manera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conformidad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Constitución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Política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Perú,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regulan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actividades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funcionamiento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Sector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Público,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así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normas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técnicas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referidas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servicios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bienes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públicos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sistemas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administrativos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naturaleza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observancia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cumplimiento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obligatorio;</w:t>
      </w:r>
    </w:p>
    <w:p w14:paraId="2F6FCAE9" w14:textId="0A2064AD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8)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9</w:t>
      </w:r>
      <w:r>
        <w:rPr>
          <w:sz w:val="24"/>
          <w:szCs w:val="24"/>
        </w:rPr>
        <w:t xml:space="preserve">°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Orgánica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Municipalidades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antes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mencionada,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corresponde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aprobar,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modificar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derogar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dejar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efecto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acuerdos;</w:t>
      </w:r>
    </w:p>
    <w:p w14:paraId="6EC818D8" w14:textId="04919FC6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4.1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4</w:t>
      </w:r>
      <w:r>
        <w:rPr>
          <w:sz w:val="24"/>
          <w:szCs w:val="24"/>
        </w:rPr>
        <w:t xml:space="preserve">°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Legislativo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1441,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publicado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Peruano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setiembre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2018,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Sistema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Tesorería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conjunto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principios,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procesos,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normas,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procedimientos,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técnicas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instrumentos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cuales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ejecuta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gestión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flujo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financiero,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incluye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estructuración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financiamiento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presupuesto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sector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público,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gestión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activos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financieros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sector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público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financiero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riesgos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fiscales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sector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público;</w:t>
      </w:r>
    </w:p>
    <w:p w14:paraId="0D6E0C42" w14:textId="72A02F54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mencionado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legislativo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fondos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depositados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y/o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percibidos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indebidamente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error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fondos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públicos,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devueltos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extornados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según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corresponda,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previo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reconocimiento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formal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área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dependencia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encargada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determinación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respectivo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registro,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acuerdo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directivas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rector;</w:t>
      </w:r>
    </w:p>
    <w:p w14:paraId="51D90822" w14:textId="7CC3F390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lastRenderedPageBreak/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38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Texto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Único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Código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aprobado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Decreto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Supremo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133-2013-EF,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publicado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Peruano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junio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2013,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devoluciones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realizados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indebidamente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efectuarán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moneda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nacional,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agregándoles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interés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fijado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período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comprendido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siguiente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ponga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disposición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solicitante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respectiva;</w:t>
      </w:r>
    </w:p>
    <w:p w14:paraId="0E19D71F" w14:textId="210BD6F1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40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código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mención,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dispone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deuda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podrá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compensarse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total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parcialmente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créditos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sanciones,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intereses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otros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conceptos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pagados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indebidamente,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correspondan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periodos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prescritos,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sean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mismo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órgano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administrador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cuya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recaudación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constituya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ingreso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misma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entidad;</w:t>
      </w:r>
    </w:p>
    <w:p w14:paraId="105E80C7" w14:textId="6A52EEA0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73.1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73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Directiva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Tesorería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001-2007-EF-77.15,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aprobada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Directoral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002-2007-EF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77.15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modificatorias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fondos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percibidos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depositados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indebidamente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unidades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ejecutoras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municipalidades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deben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considerar,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otros,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siguiente: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Reconocimiento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formal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derecho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área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competente,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Sustento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verificación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depósito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efectuado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registrado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SIAF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SP,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Registro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SIAF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SP,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según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naturaleza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ingreso;</w:t>
      </w:r>
    </w:p>
    <w:p w14:paraId="147F14D5" w14:textId="4226944C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73.3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73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mencionada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directiva,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devoluciones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montos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menores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cinco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(5%)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UIT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pueden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efectuadas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efectivo.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resolución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administrativa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podrá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constituir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un</w:t>
      </w:r>
      <w:r>
        <w:rPr>
          <w:sz w:val="24"/>
          <w:szCs w:val="24"/>
        </w:rPr>
        <w:t xml:space="preserve"> "</w:t>
      </w:r>
      <w:r w:rsidRPr="00431F66">
        <w:rPr>
          <w:sz w:val="24"/>
          <w:szCs w:val="24"/>
        </w:rPr>
        <w:t>Fondo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devoluciones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efectivo</w:t>
      </w:r>
      <w:r>
        <w:rPr>
          <w:sz w:val="24"/>
          <w:szCs w:val="24"/>
        </w:rPr>
        <w:t>"</w:t>
      </w:r>
      <w:r w:rsidRPr="00431F6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establecerá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procedimientos,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condiciones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plazos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garanticen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adecuado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uso;</w:t>
      </w:r>
    </w:p>
    <w:p w14:paraId="6A4EEE3E" w14:textId="4683EEE1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179-2024-MDLO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GATR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SGR,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subgerente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Recaudación,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remite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proyecto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compensación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transferencia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y/o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deudas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correspondiente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revisión,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considerarse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caso,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remite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revisión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legal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consecuente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elevación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su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evaluación,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así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mismo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035-2024-MDLO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GATR,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Gerente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Administración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Rentas,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remite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proyecto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Municipal;</w:t>
      </w:r>
    </w:p>
    <w:p w14:paraId="7116A992" w14:textId="4851F9C7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127-2024-OGPP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MDLO,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jefe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Planeamiento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Presupuesto,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emite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opinión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favorable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respecto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propuesta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compensación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transferencia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y/o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deudas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solicitando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proseguir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trámite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correspondiente;</w:t>
      </w:r>
    </w:p>
    <w:p w14:paraId="0D743935" w14:textId="4C2B31E3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jefe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Asesoría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Jurídica,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Informe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</w:t>
      </w:r>
      <w:r>
        <w:rPr>
          <w:sz w:val="24"/>
          <w:szCs w:val="24"/>
        </w:rPr>
        <w:t xml:space="preserve">.° </w:t>
      </w:r>
      <w:r w:rsidRPr="00431F66">
        <w:rPr>
          <w:sz w:val="24"/>
          <w:szCs w:val="24"/>
        </w:rPr>
        <w:t>140-2024-MDLO</w:t>
      </w:r>
      <w:r>
        <w:rPr>
          <w:sz w:val="24"/>
          <w:szCs w:val="24"/>
        </w:rPr>
        <w:t>-</w:t>
      </w:r>
      <w:r w:rsidRPr="00431F66">
        <w:rPr>
          <w:sz w:val="24"/>
          <w:szCs w:val="24"/>
        </w:rPr>
        <w:t>OGAJ,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opina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favorable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compensación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transferencia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y/o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deudas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Olivos;</w:t>
      </w:r>
    </w:p>
    <w:p w14:paraId="3EC360C6" w14:textId="7B7FFABD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Que,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estando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expuesto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concordancia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numeral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9</w:t>
      </w:r>
      <w:r>
        <w:rPr>
          <w:sz w:val="24"/>
          <w:szCs w:val="24"/>
        </w:rPr>
        <w:t xml:space="preserve">°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41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Orgánica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Municipalidades,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miembros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lastRenderedPageBreak/>
        <w:t>Municipal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Sesión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Concejo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Extraordinaria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fecha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voto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unanimidad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dispensa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trámite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lectura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aprobación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acta,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aprueban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siguiente;</w:t>
      </w:r>
    </w:p>
    <w:p w14:paraId="68646072" w14:textId="74C25F35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Ordenanza N.° 591-CDLO</w:t>
      </w:r>
    </w:p>
    <w:p w14:paraId="6DD4F16B" w14:textId="5A9EA299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Primero.-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Aprobar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establece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procedimiento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devolución,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compensación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transferencia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pagos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indebidos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y/o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exceso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deudas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tributarias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distrito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Olivos;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cual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consta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(7)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artículos,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(5)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disposiciones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finales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transitorias.</w:t>
      </w:r>
    </w:p>
    <w:p w14:paraId="1D3E8751" w14:textId="18A556C6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Artículo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Segundo.-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Encargar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cumplimiento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dispuesto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Gerencia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General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Secretaría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texto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aprobatorio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Diario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Peruano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Oficina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Imagen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Institucional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publicación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del</w:t>
      </w:r>
      <w:r>
        <w:rPr>
          <w:sz w:val="24"/>
          <w:szCs w:val="24"/>
        </w:rPr>
        <w:t xml:space="preserve"> í</w:t>
      </w:r>
      <w:r w:rsidRPr="00431F66">
        <w:rPr>
          <w:sz w:val="24"/>
          <w:szCs w:val="24"/>
        </w:rPr>
        <w:t>ntegro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presente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ordenanza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portal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institucional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Municipalidad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Distrital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Olivos: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www.munilosolivos.gob.pe.</w:t>
      </w:r>
    </w:p>
    <w:p w14:paraId="02D9E20E" w14:textId="37E73C8E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Por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tanto:</w:t>
      </w:r>
    </w:p>
    <w:p w14:paraId="7BC1EC54" w14:textId="68C46EF0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Mando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reg</w:t>
      </w:r>
      <w:r>
        <w:rPr>
          <w:sz w:val="24"/>
          <w:szCs w:val="24"/>
        </w:rPr>
        <w:t>i</w:t>
      </w:r>
      <w:r w:rsidRPr="00431F66">
        <w:rPr>
          <w:sz w:val="24"/>
          <w:szCs w:val="24"/>
        </w:rPr>
        <w:t>stre,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publique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cumpla.</w:t>
      </w:r>
    </w:p>
    <w:p w14:paraId="59944A07" w14:textId="58151F41" w:rsidR="00431F66" w:rsidRPr="00431F66" w:rsidRDefault="00431F66" w:rsidP="00431F66">
      <w:pPr>
        <w:spacing w:before="120"/>
        <w:rPr>
          <w:sz w:val="24"/>
          <w:szCs w:val="24"/>
        </w:rPr>
      </w:pPr>
      <w:r w:rsidRPr="00431F66">
        <w:rPr>
          <w:sz w:val="24"/>
          <w:szCs w:val="24"/>
        </w:rPr>
        <w:t>Luis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Felipe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Castillo</w:t>
      </w:r>
      <w:r>
        <w:rPr>
          <w:sz w:val="24"/>
          <w:szCs w:val="24"/>
        </w:rPr>
        <w:t xml:space="preserve"> </w:t>
      </w:r>
      <w:r w:rsidRPr="00431F66">
        <w:rPr>
          <w:sz w:val="24"/>
          <w:szCs w:val="24"/>
        </w:rPr>
        <w:t>Oliva</w:t>
      </w:r>
    </w:p>
    <w:p w14:paraId="5E42367A" w14:textId="3D5CF355" w:rsidR="002017D0" w:rsidRDefault="00431F66" w:rsidP="00DB7A43">
      <w:pPr>
        <w:spacing w:before="120"/>
      </w:pPr>
      <w:r w:rsidRPr="00431F66">
        <w:rPr>
          <w:sz w:val="24"/>
          <w:szCs w:val="24"/>
        </w:rPr>
        <w:t>Alcalde</w:t>
      </w:r>
    </w:p>
    <w:p w14:paraId="253D2263" w14:textId="548098A2" w:rsidR="0018213D" w:rsidRDefault="0018213D" w:rsidP="00DB7A43">
      <w:pPr>
        <w:spacing w:before="120"/>
        <w:jc w:val="center"/>
      </w:pPr>
      <w:r w:rsidRPr="0018213D">
        <w:t>Documento</w:t>
      </w:r>
      <w:r w:rsidR="00431F66">
        <w:t xml:space="preserve"> </w:t>
      </w:r>
      <w:r w:rsidRPr="0018213D">
        <w:t>publicado</w:t>
      </w:r>
      <w:r w:rsidR="00431F66">
        <w:t xml:space="preserve"> </w:t>
      </w:r>
      <w:r w:rsidRPr="0018213D">
        <w:t>en</w:t>
      </w:r>
      <w:r w:rsidR="00431F66">
        <w:t xml:space="preserve"> </w:t>
      </w:r>
      <w:r w:rsidRPr="0018213D">
        <w:t>el</w:t>
      </w:r>
      <w:r w:rsidR="00431F66">
        <w:t xml:space="preserve"> </w:t>
      </w:r>
      <w:r w:rsidRPr="0018213D">
        <w:t>Diario</w:t>
      </w:r>
      <w:r w:rsidR="00431F66">
        <w:t xml:space="preserve"> </w:t>
      </w:r>
      <w:r w:rsidRPr="0018213D">
        <w:t>Oficial</w:t>
      </w:r>
      <w:r w:rsidR="00431F66">
        <w:t xml:space="preserve"> </w:t>
      </w:r>
      <w:r w:rsidRPr="0018213D">
        <w:t>"El</w:t>
      </w:r>
      <w:r w:rsidR="00431F66">
        <w:t xml:space="preserve"> </w:t>
      </w:r>
      <w:r w:rsidRPr="0018213D">
        <w:t>Peruano"</w:t>
      </w:r>
      <w:r w:rsidR="00431F66">
        <w:t xml:space="preserve"> </w:t>
      </w:r>
      <w:r w:rsidRPr="0018213D">
        <w:t>el</w:t>
      </w:r>
      <w:r w:rsidR="00431F66">
        <w:t xml:space="preserve"> 9 </w:t>
      </w:r>
      <w:r w:rsidRPr="0018213D">
        <w:t>de</w:t>
      </w:r>
      <w:r w:rsidR="00431F66">
        <w:t xml:space="preserve"> </w:t>
      </w:r>
      <w:r w:rsidRPr="0018213D">
        <w:t>mayo</w:t>
      </w:r>
      <w:r w:rsidR="00431F66">
        <w:t xml:space="preserve"> </w:t>
      </w:r>
      <w:r w:rsidRPr="0018213D">
        <w:t>del</w:t>
      </w:r>
      <w:r w:rsidR="00431F66">
        <w:t xml:space="preserve"> </w:t>
      </w:r>
      <w:r w:rsidRPr="0018213D">
        <w:t>2024.</w:t>
      </w:r>
    </w:p>
    <w:sectPr w:rsidR="001821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4CEBB" w14:textId="77777777" w:rsidR="00DB4051" w:rsidRDefault="00DB4051" w:rsidP="0018213D">
      <w:r>
        <w:separator/>
      </w:r>
    </w:p>
  </w:endnote>
  <w:endnote w:type="continuationSeparator" w:id="0">
    <w:p w14:paraId="38E94F28" w14:textId="77777777" w:rsidR="00DB4051" w:rsidRDefault="00DB4051" w:rsidP="0018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25A9D" w14:textId="36F57D23" w:rsidR="0018213D" w:rsidRPr="00DB7A43" w:rsidRDefault="0018213D" w:rsidP="00DB7A43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>Un</w:t>
    </w:r>
    <w:r w:rsidR="00431F66">
      <w:rPr>
        <w:rFonts w:ascii="Calibri" w:hAnsi="Calibri"/>
      </w:rPr>
      <w:t xml:space="preserve"> </w:t>
    </w:r>
    <w:r w:rsidRPr="00ED2292">
      <w:rPr>
        <w:rFonts w:ascii="Calibri" w:hAnsi="Calibri"/>
      </w:rPr>
      <w:t>desarrollo</w:t>
    </w:r>
    <w:r w:rsidR="00431F66">
      <w:rPr>
        <w:rFonts w:ascii="Calibri" w:hAnsi="Calibri"/>
      </w:rPr>
      <w:t xml:space="preserve"> </w:t>
    </w:r>
    <w:r w:rsidRPr="00ED2292">
      <w:rPr>
        <w:rFonts w:ascii="Calibri" w:hAnsi="Calibri"/>
      </w:rPr>
      <w:t>especializado</w:t>
    </w:r>
    <w:r w:rsidR="00431F66">
      <w:rPr>
        <w:rFonts w:ascii="Calibri" w:hAnsi="Calibri"/>
      </w:rPr>
      <w:t xml:space="preserve"> </w:t>
    </w:r>
    <w:r w:rsidRPr="00ED2292">
      <w:rPr>
        <w:rFonts w:ascii="Calibri" w:hAnsi="Calibri"/>
      </w:rPr>
      <w:t>de</w:t>
    </w:r>
    <w:r w:rsidR="00431F66">
      <w:rPr>
        <w:rFonts w:ascii="Calibri" w:hAnsi="Calibri"/>
      </w:rPr>
      <w:t xml:space="preserve">         </w:t>
    </w:r>
    <w:r>
      <w:rPr>
        <w:rFonts w:ascii="Calibri" w:hAnsi="Calibri"/>
        <w:noProof/>
        <w:lang w:eastAsia="es-PE"/>
      </w:rPr>
      <w:drawing>
        <wp:inline distT="0" distB="0" distL="0" distR="0" wp14:anchorId="7CDBAFED" wp14:editId="5116B046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F666A" w14:textId="77777777" w:rsidR="00DB4051" w:rsidRDefault="00DB4051" w:rsidP="0018213D">
      <w:r>
        <w:separator/>
      </w:r>
    </w:p>
  </w:footnote>
  <w:footnote w:type="continuationSeparator" w:id="0">
    <w:p w14:paraId="553F6285" w14:textId="77777777" w:rsidR="00DB4051" w:rsidRDefault="00DB4051" w:rsidP="0018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4A3D" w14:textId="5C469AFF" w:rsidR="0018213D" w:rsidRDefault="0018213D" w:rsidP="00DB7A43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618D017" wp14:editId="06B4AC67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3D"/>
    <w:rsid w:val="0002405D"/>
    <w:rsid w:val="000526BE"/>
    <w:rsid w:val="00096CEC"/>
    <w:rsid w:val="00133291"/>
    <w:rsid w:val="0018213D"/>
    <w:rsid w:val="002017D0"/>
    <w:rsid w:val="00431F66"/>
    <w:rsid w:val="00580259"/>
    <w:rsid w:val="00615327"/>
    <w:rsid w:val="007F0EA7"/>
    <w:rsid w:val="008066EB"/>
    <w:rsid w:val="008F2267"/>
    <w:rsid w:val="00AA3083"/>
    <w:rsid w:val="00BB3261"/>
    <w:rsid w:val="00C23445"/>
    <w:rsid w:val="00C32D53"/>
    <w:rsid w:val="00C32EB2"/>
    <w:rsid w:val="00D361DE"/>
    <w:rsid w:val="00DB4051"/>
    <w:rsid w:val="00DB7A43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431F6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431F6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13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13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4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31F6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31F66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431F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431F66"/>
  </w:style>
  <w:style w:type="character" w:customStyle="1" w:styleId="no-style-override-1">
    <w:name w:val="no-style-override-1"/>
    <w:basedOn w:val="Fuentedeprrafopredeter"/>
    <w:rsid w:val="00431F66"/>
  </w:style>
  <w:style w:type="character" w:customStyle="1" w:styleId="no-style-override-3">
    <w:name w:val="no-style-override-3"/>
    <w:basedOn w:val="Fuentedeprrafopredeter"/>
    <w:rsid w:val="0043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431F6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431F6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13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821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13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4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31F66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31F66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431F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431F66"/>
  </w:style>
  <w:style w:type="character" w:customStyle="1" w:styleId="no-style-override-1">
    <w:name w:val="no-style-override-1"/>
    <w:basedOn w:val="Fuentedeprrafopredeter"/>
    <w:rsid w:val="00431F66"/>
  </w:style>
  <w:style w:type="character" w:customStyle="1" w:styleId="no-style-override-3">
    <w:name w:val="no-style-override-3"/>
    <w:basedOn w:val="Fuentedeprrafopredeter"/>
    <w:rsid w:val="0043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1096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3</cp:revision>
  <dcterms:created xsi:type="dcterms:W3CDTF">2024-05-08T14:08:00Z</dcterms:created>
  <dcterms:modified xsi:type="dcterms:W3CDTF">2024-05-09T22:46:00Z</dcterms:modified>
</cp:coreProperties>
</file>