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08AD8" w14:textId="4B03C18A" w:rsidR="00AF2EDD" w:rsidRPr="00AF2EDD" w:rsidRDefault="00AF2EDD" w:rsidP="008C4518">
      <w:pPr>
        <w:spacing w:before="120"/>
        <w:jc w:val="center"/>
        <w:rPr>
          <w:b/>
          <w:bCs/>
          <w:sz w:val="24"/>
          <w:lang w:eastAsia="es-PE"/>
        </w:rPr>
      </w:pPr>
      <w:bookmarkStart w:id="0" w:name="_GoBack"/>
      <w:bookmarkEnd w:id="0"/>
      <w:r w:rsidRPr="00AF2EDD">
        <w:rPr>
          <w:b/>
          <w:bCs/>
          <w:sz w:val="24"/>
          <w:lang w:eastAsia="es-PE"/>
        </w:rPr>
        <w:t>Modifican el artículo 8° de la Resolución Ministerial N.° 376-2023-Vivienda, modificado p</w:t>
      </w:r>
      <w:r w:rsidR="008C4518" w:rsidRPr="00AF2EDD">
        <w:rPr>
          <w:b/>
          <w:bCs/>
          <w:sz w:val="24"/>
          <w:lang w:eastAsia="es-PE"/>
        </w:rPr>
        <w:t>or las resoluciones minister</w:t>
      </w:r>
      <w:r w:rsidRPr="00AF2EDD">
        <w:rPr>
          <w:b/>
          <w:bCs/>
          <w:sz w:val="24"/>
          <w:lang w:eastAsia="es-PE"/>
        </w:rPr>
        <w:t>iales N.° 529-2023-Vivienda y N.° 023-2024-Vivienda</w:t>
      </w:r>
    </w:p>
    <w:p w14:paraId="76F660B0" w14:textId="660272AF" w:rsidR="00AF2EDD" w:rsidRPr="00AF2EDD" w:rsidRDefault="00AF2EDD" w:rsidP="008C4518">
      <w:pPr>
        <w:spacing w:before="120"/>
        <w:jc w:val="center"/>
        <w:rPr>
          <w:b/>
          <w:bCs/>
          <w:sz w:val="24"/>
          <w:lang w:eastAsia="es-PE"/>
        </w:rPr>
      </w:pPr>
      <w:r w:rsidRPr="00AF2EDD">
        <w:rPr>
          <w:b/>
          <w:bCs/>
          <w:sz w:val="24"/>
          <w:lang w:eastAsia="es-PE"/>
        </w:rPr>
        <w:t>Resolución Ministerial N.° 147-2024-Vivienda</w:t>
      </w:r>
    </w:p>
    <w:p w14:paraId="64E84323" w14:textId="51C8D9DC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Lima, 26 de abril del 2024</w:t>
      </w:r>
    </w:p>
    <w:p w14:paraId="3D6471A7" w14:textId="3CF3BF33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Vistos:</w:t>
      </w:r>
    </w:p>
    <w:p w14:paraId="5168E8A3" w14:textId="093BE284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El Informe N.° 055-2024-Vivienda-OGA de la Oficina General de Administración, el Memorándum N.° 726-2024-Vivienda/OGPP y el Informe N.° 182-2024-Vivienda/OGPP-OPM de la Oficina General de Planeamiento y Presupuesto, el Informe N.° 334-2024-Vivienda-OGAJ de la Oficina General de Asesoría Jurídica, y;</w:t>
      </w:r>
    </w:p>
    <w:p w14:paraId="40B18E4E" w14:textId="1607E8E4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Considerando:</w:t>
      </w:r>
    </w:p>
    <w:p w14:paraId="76AD1F0C" w14:textId="09B874AB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Que, los artículos 35 y 36 de la Ley N.° 29158, Ley Orgánica del Poder Ejecutivo, señalan que las comisiones del Poder Ejecutivo son órganos que se crean para cumplir las funciones de seguimiento, fiscalización, propuesta o emisión de informes, no tienen personería jurídica ni administración propia y están integradas a una entidad pública, precisando que sus conclusiones carecen de efectos jurídicos frente a terceros. Asimismo, se señala que las comisiones sectoriales son de naturaleza temporal y se crean formalmente por Resolución Ministerial del titular a cuya competencia corresponden;</w:t>
      </w:r>
    </w:p>
    <w:p w14:paraId="6A8D11F5" w14:textId="05546930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Que, el artículo el artículo 21 de los Lineamientos de Organización del Estado, aprobados por Decreto Supremo N.° 054-2018-PCM y modificatorias, establece que las comisiones son un tipo de órgano colegiado sin personería jurídica y se crean para cumplir con funciones de seguimiento, supervisión, fiscalización, propuesta o emisión de informes, que sirven de base para la toma de decisiones de otras entidades, precisando que sus conclusiones carecen de efectos jurídicos frente a terceros;</w:t>
      </w:r>
    </w:p>
    <w:p w14:paraId="40F6D4EC" w14:textId="639DFC67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Que, mediante el Decreto de Urgencia N.° 028-2023, se establecen medidas extraordinarias en materia económica y financiera, que permitan al Ministerio de Vivienda, Construcción y Saneamiento, a través del Programa Nacional de Saneamiento Urbano, del Programa Nacional de Saneamiento Rural y del Programa Nuestras Ciudades, así como al Organismo Técnico de la Administración de los Servicios de Saneamiento (OTASS), a intervenir con la ejecución de accione</w:t>
      </w:r>
      <w:r w:rsidR="008C4518" w:rsidRPr="00AF2EDD">
        <w:rPr>
          <w:rFonts w:eastAsia="Times New Roman" w:cs="Arial"/>
          <w:color w:val="000000"/>
          <w:sz w:val="24"/>
          <w:szCs w:val="27"/>
          <w:lang w:eastAsia="es-PE"/>
        </w:rPr>
        <w:t>s de emergencia en las zonas declaradas en estado de emergencia por pe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ligro inminente ante intensas precipitaciones pluviales (periodo 2023-2024) y probable ocurrencia del Fenómeno El Niño;</w:t>
      </w:r>
    </w:p>
    <w:p w14:paraId="5853314F" w14:textId="7BD00B89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Que, en ese sentido, el numeral 3.1 del artículo 3° del precitado</w:t>
      </w:r>
      <w:r w:rsidR="008C4518" w:rsidRPr="00AF2EDD">
        <w:rPr>
          <w:rFonts w:eastAsia="Times New Roman" w:cs="Arial"/>
          <w:color w:val="000000"/>
          <w:sz w:val="24"/>
          <w:szCs w:val="27"/>
          <w:lang w:eastAsia="es-PE"/>
        </w:rPr>
        <w:t xml:space="preserve"> decreto de urgencia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, autoriza al OTASS a realizar la adquisición de bienes y contratación de serv</w:t>
      </w:r>
      <w:r w:rsidR="008C4518" w:rsidRPr="00AF2EDD">
        <w:rPr>
          <w:rFonts w:eastAsia="Times New Roman" w:cs="Arial"/>
          <w:color w:val="000000"/>
          <w:sz w:val="24"/>
          <w:szCs w:val="27"/>
          <w:lang w:eastAsia="es-PE"/>
        </w:rPr>
        <w:t>icios para las acciones en las zonas declaradas en estado de emergen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cia por peligro inminente ante intensas precipitaciones pluviales (periodo 2023-2024) y probable ocurrencia del Fenómeno El Niño;</w:t>
      </w:r>
    </w:p>
    <w:p w14:paraId="0A9779CC" w14:textId="740CB9C5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 xml:space="preserve">Que, mediante la Resolución Ministerial N.° 376-2023-Vivienda, modificada por las </w:t>
      </w:r>
      <w:r w:rsidR="008C4518" w:rsidRPr="00AF2EDD">
        <w:rPr>
          <w:rFonts w:eastAsia="Times New Roman" w:cs="Arial"/>
          <w:color w:val="000000"/>
          <w:sz w:val="24"/>
          <w:szCs w:val="27"/>
          <w:lang w:eastAsia="es-PE"/>
        </w:rPr>
        <w:t>resoluciones minister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iales N.° 529-2023-Vivienda y N.° 023-2024-Vivienda, s</w:t>
      </w:r>
      <w:r w:rsidR="008C4518" w:rsidRPr="00AF2EDD">
        <w:rPr>
          <w:rFonts w:eastAsia="Times New Roman" w:cs="Arial"/>
          <w:color w:val="000000"/>
          <w:sz w:val="24"/>
          <w:szCs w:val="27"/>
          <w:lang w:eastAsia="es-PE"/>
        </w:rPr>
        <w:t xml:space="preserve">e crea la comisión sectorial, de naturaleza temporal, dependiente del 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lastRenderedPageBreak/>
        <w:t xml:space="preserve">Ministerio de Vivienda, Construcción y Saneamiento, denominada </w:t>
      </w:r>
      <w:r w:rsidR="008C4518"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 xml:space="preserve">Comisión </w:t>
      </w:r>
      <w:r w:rsidR="008C4518" w:rsidRPr="00AF2EDD">
        <w:rPr>
          <w:rFonts w:eastAsia="Times New Roman" w:cs="Arial"/>
          <w:color w:val="000000"/>
          <w:sz w:val="24"/>
          <w:szCs w:val="27"/>
          <w:lang w:eastAsia="es-PE"/>
        </w:rPr>
        <w:t>sectorial para la ejecución de los decretos de urg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encia N.° 010-2023, N.° 017-2023, N.° 024-2023, N.° 028-2023 y N.° 038-2023, la Ley N.° 31912 y el Decreto Supremo N.</w:t>
      </w:r>
      <w:r w:rsidR="008C4518">
        <w:rPr>
          <w:rFonts w:eastAsia="Times New Roman" w:cs="Arial"/>
          <w:color w:val="000000"/>
          <w:sz w:val="24"/>
          <w:szCs w:val="27"/>
          <w:lang w:eastAsia="es-PE"/>
        </w:rPr>
        <w:t xml:space="preserve">° 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201-2023-EF</w:t>
      </w:r>
      <w:r w:rsidR="008C4518">
        <w:rPr>
          <w:rFonts w:eastAsia="Times New Roman" w:cs="Arial"/>
          <w:color w:val="000000"/>
          <w:sz w:val="24"/>
          <w:szCs w:val="27"/>
          <w:lang w:eastAsia="es-PE"/>
        </w:rPr>
        <w:t>"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 xml:space="preserve"> (en adelante Comisión Sectorial), con el objeto de realizar el seguimiento de las adquisiciones y contrataciones de los bienes y servicios necesarios conforme a lo esta</w:t>
      </w:r>
      <w:r w:rsidR="008C4518" w:rsidRPr="00AF2EDD">
        <w:rPr>
          <w:rFonts w:eastAsia="Times New Roman" w:cs="Arial"/>
          <w:color w:val="000000"/>
          <w:sz w:val="24"/>
          <w:szCs w:val="27"/>
          <w:lang w:eastAsia="es-PE"/>
        </w:rPr>
        <w:t>blecido en los decretos de urge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ncia N.° 010-2023, N.° 017-2023, N.° 024-2023, N.</w:t>
      </w:r>
      <w:r w:rsidR="008C4518">
        <w:rPr>
          <w:rFonts w:eastAsia="Times New Roman" w:cs="Arial"/>
          <w:color w:val="000000"/>
          <w:sz w:val="24"/>
          <w:szCs w:val="27"/>
          <w:lang w:eastAsia="es-PE"/>
        </w:rPr>
        <w:t xml:space="preserve">° 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028-2023 y N.° 038-2023, la Ley N.° 31912 y el Decreto Supremo N.° 201-2023-EF;</w:t>
      </w:r>
    </w:p>
    <w:p w14:paraId="70282F45" w14:textId="4AF5062F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Que, el artículo 8° de la Resolución Ministerial N.° 376-2023-Vivienda, modificado por l</w:t>
      </w:r>
      <w:r w:rsidR="008C4518" w:rsidRPr="00AF2EDD">
        <w:rPr>
          <w:rFonts w:eastAsia="Times New Roman" w:cs="Arial"/>
          <w:color w:val="000000"/>
          <w:sz w:val="24"/>
          <w:szCs w:val="27"/>
          <w:lang w:eastAsia="es-PE"/>
        </w:rPr>
        <w:t>as resoluciones minister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iales N.° 529-2023-Vivienda y N.° 023-2024-Vivienda, establece la vigencia de la Comisión Sectorial hasta el 30 de abril del 2024;</w:t>
      </w:r>
    </w:p>
    <w:p w14:paraId="50AA51B1" w14:textId="53910C05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Que, a través del Informe N.° 055-2024-Vivienda-OGA, la Oficina General de Administración, en su calidad de Secretaría Técnica de la Comisión Sectorial, propone la modificación del artículo 8° de la Resolución Ministerial N.° 376-2023-Vivienda, modificado po</w:t>
      </w:r>
      <w:r w:rsidR="008C4518" w:rsidRPr="00AF2EDD">
        <w:rPr>
          <w:rFonts w:eastAsia="Times New Roman" w:cs="Arial"/>
          <w:color w:val="000000"/>
          <w:sz w:val="24"/>
          <w:szCs w:val="27"/>
          <w:lang w:eastAsia="es-PE"/>
        </w:rPr>
        <w:t>r las resoluciones ministerial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 xml:space="preserve">es N.° 529-2023-Vivienda y N.° 023-2024-Vivienda, a fin que se amplíe la vigencia de la </w:t>
      </w:r>
      <w:r w:rsidR="008C4518" w:rsidRPr="00AF2EDD">
        <w:rPr>
          <w:rFonts w:eastAsia="Times New Roman" w:cs="Arial"/>
          <w:color w:val="000000"/>
          <w:sz w:val="24"/>
          <w:szCs w:val="27"/>
          <w:lang w:eastAsia="es-PE"/>
        </w:rPr>
        <w:t>comisión sectorial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 xml:space="preserve"> hasta el 31 de mayo del 2024, señalando que, respecto al OTASS, se encuentra pendiente la entrega y puesta en marcha de bienes adquiridos en el marco del Decreto de Urgencia N.° 028-2023; por lo que resulta necesario </w:t>
      </w:r>
      <w:r w:rsidR="008C4518" w:rsidRPr="00AF2EDD">
        <w:rPr>
          <w:rFonts w:eastAsia="Times New Roman" w:cs="Arial"/>
          <w:color w:val="000000"/>
          <w:sz w:val="24"/>
          <w:szCs w:val="27"/>
          <w:lang w:eastAsia="es-PE"/>
        </w:rPr>
        <w:t>contar con un plazo adicional que permita a la comisión sectorial realizar e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l seguimiento de la adquisición de los bienes conforme a lo establecido en el Decreto de Urgencia N.° 028-2023;</w:t>
      </w:r>
    </w:p>
    <w:p w14:paraId="310CD53C" w14:textId="27812FC0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Que, con el Memorándum N.° 726-2024-Vivienda/OGPP, la Oficina General de Planeamiento y Presupuesto remite el Informe N.° 182-2024-Vivienda/OGPP-OPM de su Oficina de Planeamiento y Modernización, mediante el cual se emite opinión favorable y recomienda la ampliación de la vigencia de la Comisión Sectorial, señalando que la misma se encuentra alineada al Objetivo Estratégico 07 (OEI 07) Fortalecer la gestión del riesgo de desastres y adaptación al cambio climático;</w:t>
      </w:r>
    </w:p>
    <w:p w14:paraId="545D21C8" w14:textId="697054E0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Que, por Informe N.° 334-2024-Vivienda/OGAJ, la Oficina General de Asesoría Jurídica opina que es legalmente viable la propuesta de modificación de la Resolución Ministerial N.° 376-2023-Vivienda, modificad</w:t>
      </w:r>
      <w:r w:rsidR="008C4518" w:rsidRPr="00AF2EDD">
        <w:rPr>
          <w:rFonts w:eastAsia="Times New Roman" w:cs="Arial"/>
          <w:color w:val="000000"/>
          <w:sz w:val="24"/>
          <w:szCs w:val="27"/>
          <w:lang w:eastAsia="es-PE"/>
        </w:rPr>
        <w:t>a por las resoluciones ministeri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ales N.° 529-2023-Vivienda y N.° 023-2024-Vivienda, a fin de ampliar la vigencia de l</w:t>
      </w:r>
      <w:r w:rsidR="008C4518" w:rsidRPr="00AF2EDD">
        <w:rPr>
          <w:rFonts w:eastAsia="Times New Roman" w:cs="Arial"/>
          <w:color w:val="000000"/>
          <w:sz w:val="24"/>
          <w:szCs w:val="27"/>
          <w:lang w:eastAsia="es-PE"/>
        </w:rPr>
        <w:t>a comisión sectorial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;</w:t>
      </w:r>
    </w:p>
    <w:p w14:paraId="13E5DE56" w14:textId="45528D82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 xml:space="preserve">Que, en consecuencia, es necesario modificar el artículo 8° de la Resolución Ministerial N.° 376-2023-Vivienda, modificado por las </w:t>
      </w:r>
      <w:r w:rsidR="008C4518" w:rsidRPr="00AF2EDD">
        <w:rPr>
          <w:rFonts w:eastAsia="Times New Roman" w:cs="Arial"/>
          <w:color w:val="000000"/>
          <w:sz w:val="24"/>
          <w:szCs w:val="27"/>
          <w:lang w:eastAsia="es-PE"/>
        </w:rPr>
        <w:t>resoluciones ministe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riales N.</w:t>
      </w:r>
      <w:r w:rsidR="008C4518">
        <w:rPr>
          <w:rFonts w:eastAsia="Times New Roman" w:cs="Arial"/>
          <w:color w:val="000000"/>
          <w:sz w:val="24"/>
          <w:szCs w:val="27"/>
          <w:lang w:eastAsia="es-PE"/>
        </w:rPr>
        <w:t xml:space="preserve">° 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529-2023-Vivienda y N.° 023-2024-Vivienda, de acuerdo a lo expuesto en los considerandos precedentes;</w:t>
      </w:r>
    </w:p>
    <w:p w14:paraId="748F3333" w14:textId="64B7E01D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 xml:space="preserve">De conformidad con lo dispuesto en la Ley N.° 29158, Ley Orgánica del Poder Ejecutivo; en la Ley N.° 30156, Ley de Organización y Funciones del Ministerio de Vivienda, Construcción y Saneamiento; el Decreto Supremo N.° 010-2014-Vivienda, Decreto </w:t>
      </w:r>
      <w:r w:rsidR="008C4518" w:rsidRPr="00AF2EDD">
        <w:rPr>
          <w:rFonts w:eastAsia="Times New Roman" w:cs="Arial"/>
          <w:color w:val="000000"/>
          <w:sz w:val="24"/>
          <w:szCs w:val="27"/>
          <w:lang w:eastAsia="es-PE"/>
        </w:rPr>
        <w:t xml:space="preserve">supremo 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 xml:space="preserve">que aprueba el Reglamento de Organización y Funciones del Ministerio de Vivienda, Construcción y Saneamiento, modificado por el Decreto Supremo N.° 006-2015-Vivienda; y, en el Decreto Supremo N.° 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lastRenderedPageBreak/>
        <w:t xml:space="preserve">054-2018-PCM, Decreto </w:t>
      </w:r>
      <w:r w:rsidR="008C4518" w:rsidRPr="00AF2EDD">
        <w:rPr>
          <w:rFonts w:eastAsia="Times New Roman" w:cs="Arial"/>
          <w:color w:val="000000"/>
          <w:sz w:val="24"/>
          <w:szCs w:val="27"/>
          <w:lang w:eastAsia="es-PE"/>
        </w:rPr>
        <w:t>supremo que aprueba los lineamientos de organiz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ación del Estado y sus modificatorias;</w:t>
      </w:r>
    </w:p>
    <w:p w14:paraId="34AC20F1" w14:textId="2B5986F5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Se resuelve:</w:t>
      </w:r>
    </w:p>
    <w:p w14:paraId="0D384151" w14:textId="5CBE9BE6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 xml:space="preserve">Artículo 1°.- </w:t>
      </w:r>
      <w:r w:rsidRPr="00AF2EDD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Modificación del artículo 8° de la Resolución Ministerial N.° 376-2023-Vivienda. 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 xml:space="preserve">Modificar el artículo 8° de la Resolución Ministerial N.° 376-2023-Vivienda, modificado por las </w:t>
      </w:r>
      <w:r w:rsidR="008C4518" w:rsidRPr="00AF2EDD">
        <w:rPr>
          <w:rFonts w:eastAsia="Times New Roman" w:cs="Arial"/>
          <w:color w:val="000000"/>
          <w:sz w:val="24"/>
          <w:szCs w:val="27"/>
          <w:lang w:eastAsia="es-PE"/>
        </w:rPr>
        <w:t>resoluciones ministeriales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 xml:space="preserve"> N.° 529-2023-Vivienda y N.° 023-2024-Vivienda, el mismo que queda redactado en los siguientes términos:</w:t>
      </w:r>
    </w:p>
    <w:p w14:paraId="422E7AF2" w14:textId="442D09AA" w:rsidR="00AF2EDD" w:rsidRPr="00AF2EDD" w:rsidRDefault="008C4518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8C4518">
        <w:rPr>
          <w:rFonts w:eastAsia="Times New Roman" w:cs="Arial"/>
          <w:bCs/>
          <w:i/>
          <w:iCs/>
          <w:color w:val="000000"/>
          <w:sz w:val="24"/>
          <w:szCs w:val="27"/>
          <w:lang w:eastAsia="es-PE"/>
        </w:rPr>
        <w:t>"</w:t>
      </w:r>
      <w:r w:rsidR="00AF2EDD" w:rsidRPr="00AF2EDD"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Artículo 8°.- Período de vigencia</w:t>
      </w:r>
      <w:r>
        <w:rPr>
          <w:rFonts w:eastAsia="Times New Roman" w:cs="Arial"/>
          <w:b/>
          <w:bCs/>
          <w:i/>
          <w:iCs/>
          <w:color w:val="000000"/>
          <w:sz w:val="24"/>
          <w:szCs w:val="27"/>
          <w:lang w:eastAsia="es-PE"/>
        </w:rPr>
        <w:t>.</w:t>
      </w:r>
    </w:p>
    <w:p w14:paraId="0C2F6A70" w14:textId="2042F45B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La </w:t>
      </w:r>
      <w:r w:rsidR="008C4518" w:rsidRPr="00AF2EDD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>comisión sectorial</w:t>
      </w:r>
      <w:r w:rsidRPr="00AF2EDD">
        <w:rPr>
          <w:rFonts w:eastAsia="Times New Roman" w:cs="Arial"/>
          <w:i/>
          <w:iCs/>
          <w:color w:val="000000"/>
          <w:sz w:val="24"/>
          <w:szCs w:val="27"/>
          <w:lang w:eastAsia="es-PE"/>
        </w:rPr>
        <w:t xml:space="preserve"> tiene vigencia hasta el 31 de mayo del 2024.</w:t>
      </w:r>
      <w:r w:rsidR="008C4518" w:rsidRPr="008C4518">
        <w:rPr>
          <w:rFonts w:eastAsia="Times New Roman" w:cs="Arial"/>
          <w:bCs/>
          <w:i/>
          <w:iCs/>
          <w:color w:val="000000"/>
          <w:sz w:val="24"/>
          <w:szCs w:val="27"/>
          <w:lang w:eastAsia="es-PE"/>
        </w:rPr>
        <w:t>"</w:t>
      </w:r>
    </w:p>
    <w:p w14:paraId="7D0C6A2B" w14:textId="1B9D6117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 xml:space="preserve">Artículo 2°.- </w:t>
      </w:r>
      <w:r w:rsidRPr="00AF2EDD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Notificación. 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Disponer la notificación de la presente</w:t>
      </w:r>
      <w:r w:rsidR="008C4518" w:rsidRPr="00AF2EDD">
        <w:rPr>
          <w:rFonts w:eastAsia="Times New Roman" w:cs="Arial"/>
          <w:color w:val="000000"/>
          <w:sz w:val="24"/>
          <w:szCs w:val="27"/>
          <w:lang w:eastAsia="es-PE"/>
        </w:rPr>
        <w:t xml:space="preserve"> resolución ministerial a los integrantes de la comisión sectorial, para conocim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iento y fines pertinentes.</w:t>
      </w:r>
    </w:p>
    <w:p w14:paraId="43097724" w14:textId="4B8F4B82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Artículo 3°.-</w:t>
      </w:r>
      <w:r w:rsidRPr="00AF2EDD">
        <w:rPr>
          <w:rFonts w:eastAsia="Times New Roman" w:cs="Arial"/>
          <w:b/>
          <w:bCs/>
          <w:color w:val="000000"/>
          <w:sz w:val="24"/>
          <w:szCs w:val="27"/>
          <w:lang w:eastAsia="es-PE"/>
        </w:rPr>
        <w:t xml:space="preserve"> Publicación. </w:t>
      </w: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Disponer la publicación de la presente resolución ministerial en la sede digital del Ministerio de Vivienda, Construcción y Saneamiento (www.gob.pe/vivienda), el mismo día de su publicación en el Diario Oficial El Peruano.</w:t>
      </w:r>
    </w:p>
    <w:p w14:paraId="5D2C7831" w14:textId="77777777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Regístrese, comuníquese y publíquese.</w:t>
      </w:r>
    </w:p>
    <w:p w14:paraId="0E0BE105" w14:textId="62EAD587" w:rsidR="00AF2EDD" w:rsidRPr="00AF2EDD" w:rsidRDefault="00AF2EDD" w:rsidP="008C4518">
      <w:pPr>
        <w:spacing w:before="120"/>
        <w:rPr>
          <w:rFonts w:eastAsia="Times New Roman" w:cs="Arial"/>
          <w:color w:val="000000"/>
          <w:sz w:val="24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Hania Pérez De Cuéllar Lubienska</w:t>
      </w:r>
    </w:p>
    <w:p w14:paraId="78C441E6" w14:textId="77777777" w:rsidR="00AF2EDD" w:rsidRPr="00AF2EDD" w:rsidRDefault="00AF2EDD" w:rsidP="008C4518">
      <w:pPr>
        <w:spacing w:before="120"/>
        <w:rPr>
          <w:rFonts w:eastAsia="Times New Roman" w:cs="Arial"/>
          <w:color w:val="000000"/>
          <w:szCs w:val="27"/>
          <w:lang w:eastAsia="es-PE"/>
        </w:rPr>
      </w:pPr>
      <w:r w:rsidRPr="00AF2EDD">
        <w:rPr>
          <w:rFonts w:eastAsia="Times New Roman" w:cs="Arial"/>
          <w:color w:val="000000"/>
          <w:sz w:val="24"/>
          <w:szCs w:val="27"/>
          <w:lang w:eastAsia="es-PE"/>
        </w:rPr>
        <w:t>Ministra de Vivienda, Construcción y Saneamiento</w:t>
      </w:r>
    </w:p>
    <w:p w14:paraId="6730BB6B" w14:textId="507F5787" w:rsidR="00AF2EDD" w:rsidRPr="00AF2EDD" w:rsidRDefault="00AF2EDD" w:rsidP="008C4518">
      <w:pPr>
        <w:spacing w:before="120"/>
        <w:jc w:val="center"/>
        <w:rPr>
          <w:rFonts w:cs="Arial"/>
        </w:rPr>
      </w:pPr>
      <w:r w:rsidRPr="00AF2EDD">
        <w:rPr>
          <w:rFonts w:cs="Arial"/>
        </w:rPr>
        <w:t xml:space="preserve">Documento publicado en el Diario Oficial </w:t>
      </w:r>
      <w:r w:rsidR="008C4518">
        <w:rPr>
          <w:rFonts w:cs="Arial"/>
        </w:rPr>
        <w:t>"</w:t>
      </w:r>
      <w:r w:rsidRPr="00AF2EDD">
        <w:rPr>
          <w:rFonts w:cs="Arial"/>
        </w:rPr>
        <w:t>El Peruano</w:t>
      </w:r>
      <w:r w:rsidR="008C4518">
        <w:rPr>
          <w:rFonts w:cs="Arial"/>
        </w:rPr>
        <w:t>"</w:t>
      </w:r>
      <w:r w:rsidRPr="00AF2EDD">
        <w:rPr>
          <w:rFonts w:cs="Arial"/>
        </w:rPr>
        <w:t xml:space="preserve"> el 2</w:t>
      </w:r>
      <w:r>
        <w:rPr>
          <w:rFonts w:cs="Arial"/>
        </w:rPr>
        <w:t>8</w:t>
      </w:r>
      <w:r w:rsidRPr="00AF2EDD">
        <w:rPr>
          <w:rFonts w:cs="Arial"/>
        </w:rPr>
        <w:t xml:space="preserve"> de abril del 2024.</w:t>
      </w:r>
    </w:p>
    <w:sectPr w:rsidR="00AF2EDD" w:rsidRPr="00AF2ED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C95C3" w14:textId="77777777" w:rsidR="00524FE1" w:rsidRDefault="00524FE1" w:rsidP="00AF2EDD">
      <w:r>
        <w:separator/>
      </w:r>
    </w:p>
  </w:endnote>
  <w:endnote w:type="continuationSeparator" w:id="0">
    <w:p w14:paraId="2898E32A" w14:textId="77777777" w:rsidR="00524FE1" w:rsidRDefault="00524FE1" w:rsidP="00AF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DB4B4" w14:textId="3E4D3EB1" w:rsidR="00AF2EDD" w:rsidRPr="008C4518" w:rsidRDefault="00AF2EDD" w:rsidP="008C4518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091EC6E0" wp14:editId="44F5580D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3A497" w14:textId="77777777" w:rsidR="00524FE1" w:rsidRDefault="00524FE1" w:rsidP="00AF2EDD">
      <w:r>
        <w:separator/>
      </w:r>
    </w:p>
  </w:footnote>
  <w:footnote w:type="continuationSeparator" w:id="0">
    <w:p w14:paraId="63EC7B55" w14:textId="77777777" w:rsidR="00524FE1" w:rsidRDefault="00524FE1" w:rsidP="00AF2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C2493" w14:textId="59337680" w:rsidR="00AF2EDD" w:rsidRDefault="00AF2EDD" w:rsidP="008C4518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200253D3" wp14:editId="3EFBB3F4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DD"/>
    <w:rsid w:val="0002405D"/>
    <w:rsid w:val="000526BE"/>
    <w:rsid w:val="00096CEC"/>
    <w:rsid w:val="00133291"/>
    <w:rsid w:val="002017D0"/>
    <w:rsid w:val="00524FE1"/>
    <w:rsid w:val="00580259"/>
    <w:rsid w:val="00615327"/>
    <w:rsid w:val="007F0EA7"/>
    <w:rsid w:val="008066EB"/>
    <w:rsid w:val="008C4518"/>
    <w:rsid w:val="008E48B5"/>
    <w:rsid w:val="008F2267"/>
    <w:rsid w:val="00AA3083"/>
    <w:rsid w:val="00AF2EDD"/>
    <w:rsid w:val="00BB3261"/>
    <w:rsid w:val="00C32D53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26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link w:val="Ttulo1Car"/>
    <w:uiPriority w:val="9"/>
    <w:qFormat/>
    <w:rsid w:val="00AF2ED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AF2ED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AF2EDD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AF2EDD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AF2E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">
    <w:name w:val="no-style-override"/>
    <w:basedOn w:val="Fuentedeprrafopredeter"/>
    <w:rsid w:val="00AF2EDD"/>
  </w:style>
  <w:style w:type="character" w:customStyle="1" w:styleId="no-style-override-1">
    <w:name w:val="no-style-override-1"/>
    <w:basedOn w:val="Fuentedeprrafopredeter"/>
    <w:rsid w:val="00AF2EDD"/>
  </w:style>
  <w:style w:type="character" w:customStyle="1" w:styleId="no-style-override-2">
    <w:name w:val="no-style-override-2"/>
    <w:basedOn w:val="Fuentedeprrafopredeter"/>
    <w:rsid w:val="00AF2EDD"/>
  </w:style>
  <w:style w:type="character" w:customStyle="1" w:styleId="no-style-override-3">
    <w:name w:val="no-style-override-3"/>
    <w:basedOn w:val="Fuentedeprrafopredeter"/>
    <w:rsid w:val="00AF2EDD"/>
  </w:style>
  <w:style w:type="paragraph" w:styleId="Encabezado">
    <w:name w:val="header"/>
    <w:basedOn w:val="Normal"/>
    <w:link w:val="EncabezadoCar"/>
    <w:uiPriority w:val="99"/>
    <w:unhideWhenUsed/>
    <w:rsid w:val="00AF2E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EDD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AF2E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EDD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45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link w:val="Ttulo1Car"/>
    <w:uiPriority w:val="9"/>
    <w:qFormat/>
    <w:rsid w:val="00AF2ED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AF2ED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AF2EDD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AF2EDD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AF2E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">
    <w:name w:val="no-style-override"/>
    <w:basedOn w:val="Fuentedeprrafopredeter"/>
    <w:rsid w:val="00AF2EDD"/>
  </w:style>
  <w:style w:type="character" w:customStyle="1" w:styleId="no-style-override-1">
    <w:name w:val="no-style-override-1"/>
    <w:basedOn w:val="Fuentedeprrafopredeter"/>
    <w:rsid w:val="00AF2EDD"/>
  </w:style>
  <w:style w:type="character" w:customStyle="1" w:styleId="no-style-override-2">
    <w:name w:val="no-style-override-2"/>
    <w:basedOn w:val="Fuentedeprrafopredeter"/>
    <w:rsid w:val="00AF2EDD"/>
  </w:style>
  <w:style w:type="character" w:customStyle="1" w:styleId="no-style-override-3">
    <w:name w:val="no-style-override-3"/>
    <w:basedOn w:val="Fuentedeprrafopredeter"/>
    <w:rsid w:val="00AF2EDD"/>
  </w:style>
  <w:style w:type="paragraph" w:styleId="Encabezado">
    <w:name w:val="header"/>
    <w:basedOn w:val="Normal"/>
    <w:link w:val="EncabezadoCar"/>
    <w:uiPriority w:val="99"/>
    <w:unhideWhenUsed/>
    <w:rsid w:val="00AF2E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EDD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AF2E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EDD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45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1109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2</cp:revision>
  <dcterms:created xsi:type="dcterms:W3CDTF">2024-04-29T15:03:00Z</dcterms:created>
  <dcterms:modified xsi:type="dcterms:W3CDTF">2024-04-29T17:07:00Z</dcterms:modified>
</cp:coreProperties>
</file>