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6E174" w14:textId="4FD5E831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bookmarkStart w:id="0" w:name="_GoBack"/>
      <w:bookmarkEnd w:id="0"/>
      <w:r w:rsidRPr="00CB4E70">
        <w:rPr>
          <w:b/>
          <w:bCs/>
          <w:sz w:val="24"/>
          <w:lang w:eastAsia="es-PE"/>
        </w:rPr>
        <w:t>Ordenanza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que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prohíbe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la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obstaculización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interrupción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del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uso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los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espacios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públicos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y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el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abandono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bienes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desuso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la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vía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pública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el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distrito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Breña</w:t>
      </w:r>
    </w:p>
    <w:p w14:paraId="24F3F8D5" w14:textId="1E93AA6D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Ordenanza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Municipal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N.°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602-2024-MDB</w:t>
      </w:r>
    </w:p>
    <w:p w14:paraId="3E9DDA39" w14:textId="328FD33A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23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marzo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2024</w:t>
      </w:r>
    </w:p>
    <w:p w14:paraId="48C98430" w14:textId="124028CA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alcalde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</w:t>
      </w:r>
    </w:p>
    <w:p w14:paraId="75E10A37" w14:textId="66EE2DA8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cuanto</w:t>
      </w:r>
    </w:p>
    <w:p w14:paraId="5551C595" w14:textId="30F75322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Concejo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sesión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extraordinaria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fecha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;</w:t>
      </w:r>
    </w:p>
    <w:p w14:paraId="3D15CAA8" w14:textId="18FDB505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Vistos:</w:t>
      </w:r>
    </w:p>
    <w:p w14:paraId="080C6D98" w14:textId="1A854B8D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Informe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0032-2024-SGTFA/GSC/MDB,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Informe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028-2024-GSC-MDB,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Memorándum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072-2024-OAJEI-MDB,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Informe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0112-2024-OPP/MDB,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Informe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286-2024-OAJEI/MDB,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Memorándum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271-2024-MDB/GM,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Dictamen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03-2024-CDUTSF/MDB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Comisión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Ordinaria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Desarrollo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Urbano,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Transporte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Saneamiento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Físico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Legal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Concejo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Municipal;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y,</w:t>
      </w:r>
    </w:p>
    <w:p w14:paraId="5FD51C89" w14:textId="4BCADD23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Considerando:</w:t>
      </w:r>
    </w:p>
    <w:p w14:paraId="0DB49614" w14:textId="705F65DA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194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Constitución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Política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Perú,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modificada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30305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Reforma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Constitucional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precisa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provinciales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distritales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órganos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gobie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local.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Tienen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autonomía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política,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económica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asuntos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competencia,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concordancia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II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Título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Preliminar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27972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Orgánica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autonomía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Constitución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Política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Perú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radica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facultad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ejercer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actos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gobierno,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sujeción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ordenamiento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jurídico;</w:t>
      </w:r>
    </w:p>
    <w:p w14:paraId="63EE3CBA" w14:textId="781B021C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39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27972,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Orgánica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señala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concejos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municipales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ejercen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sus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funciones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gobierno,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aprobación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ordenanzas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acuerdos;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concordante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40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mismo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cuerpo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normativo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señala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ordenanzas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normas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carácter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general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mayor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jerarquía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estructura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normativa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aprueba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organización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interna,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regulación,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supervisión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servicios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materias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tiene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competencia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normativa;</w:t>
      </w:r>
    </w:p>
    <w:p w14:paraId="459CA601" w14:textId="55B4FBBD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31199,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Gestión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Protección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primero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tiene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objeto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marco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normativo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gestión,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protección,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manejo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sostenibilidad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tanto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elementos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esenciales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mejora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vida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personas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ambiente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ciudad;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así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garantizar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través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trabajo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coordinado,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participativo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técnicamente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consistente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instituciones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organismos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competentes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;</w:t>
      </w:r>
    </w:p>
    <w:p w14:paraId="25994690" w14:textId="79B35D4D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31199,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aprobado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Decreto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Supremo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001-2023-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Vivienda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6°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inciso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6.1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tienen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competencias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sobre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acuerdo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56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27972,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Orgánica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adelante,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27972,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concordancia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reglam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;</w:t>
      </w:r>
    </w:p>
    <w:p w14:paraId="0434BFC2" w14:textId="3D0C119F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mencionado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precedentemente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37,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señala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titular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ejercicio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función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fiscalizadora,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determina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hubiese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incurrido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perjuicio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cargo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correspondientes,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perjuicio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promover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recuperación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extrajudicial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otras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judiciales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responsabilidades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civiles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penales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hubiere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lugar;</w:t>
      </w:r>
    </w:p>
    <w:p w14:paraId="76AD26DA" w14:textId="06733847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cabe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destacar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56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Orgánica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27972,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que: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municipalidades: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1.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inmuebles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muebles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destinado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servicios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locales.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(...)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.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vías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áreas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públicas,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subsuelo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aires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dominio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;</w:t>
      </w:r>
    </w:p>
    <w:p w14:paraId="6BB86DEE" w14:textId="2E6C9932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595-2023-MDB,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publicada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Diario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Oficial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Peruano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29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noviembre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año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2023,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aprueba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Organización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Funciones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(ROF)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Estructura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Orgánica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modificándose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nombre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estructura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orgánica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Subgerencia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"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Subgerencia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Transporte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órgano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dependencia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Seguridad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Ciudadana;</w:t>
      </w:r>
    </w:p>
    <w:p w14:paraId="1D5E43AA" w14:textId="617A00AB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94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Organización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Funciones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(ROF)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Estructura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Orgánica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precisa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Subgerencia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Transporte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orgánica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línea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ubicada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tercer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nivel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organizacional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responsable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planificar,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organizar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dirigir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relativas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transporte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cumplimiento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disposiciones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dentro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jurisdicción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detectando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imponiendo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resulten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pertinentes,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dentro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marco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27972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Orgánica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TUO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27444,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Procedimiento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General,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aprobado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Decreto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Supremo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004-2019-JUS,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592-2023-MDB,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aprueba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Nuevo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(RASA)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Cuadro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Único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(CUIS)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Breña;</w:t>
      </w:r>
    </w:p>
    <w:p w14:paraId="4456A281" w14:textId="0C2FA305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592-2023-MDB,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publicada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Diario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Oficial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Peruano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"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14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octubre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2023,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aprobó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Nuevo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(RASA),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Cuadro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Único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(CUIS)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Breña;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tiene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objeto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disposiciones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normativas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condiciones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generales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sustenten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procedimiento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sancionador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garantizando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ciudadano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correcta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incumplimiento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normas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tipifiquen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cuya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encuentre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reservado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gobiernos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locales,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finalidad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crear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actitud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cívica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orientada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respeto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cumplimiento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disposiciones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particulares,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empresas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instituciones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convivencia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pacífica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comunidad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propicien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desarrollo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integral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armónico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distrito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conforme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atribuciones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materia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ompete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gobiernos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locales;</w:t>
      </w:r>
    </w:p>
    <w:p w14:paraId="4AA50F39" w14:textId="4E2711C7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2200-MML,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aprueba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Régimen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Cuadro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Metropolitana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Lima,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ámbito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carácter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etropolitano,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pudiendo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municipios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distritales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expedir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sus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cuadros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teniendo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marco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referencia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contenido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dicha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;</w:t>
      </w:r>
    </w:p>
    <w:p w14:paraId="3945C7D0" w14:textId="686CFCF3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Informe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0032-2024-SGTFA/GSC/MDB,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fecha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22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enero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2024,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Subgerencia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Transporte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remite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Seguridad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Ciudadana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proyecto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prohíbe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obstaculización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interrupción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abandono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implementar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medidas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destinadas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mejorar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ornato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libre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tránsito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prevenir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situaciones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eleven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pongan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riesgo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vida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pobladores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Breña;</w:t>
      </w:r>
    </w:p>
    <w:p w14:paraId="450F42B1" w14:textId="1E7404A2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Informe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028-2024-GSC-MDB,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fecha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27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febrero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2024,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Seguridad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Ciudadana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solicita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Asesoría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Jurídica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Integridad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sirva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emitir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opinión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legal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correspondiente;</w:t>
      </w:r>
    </w:p>
    <w:p w14:paraId="757E48C1" w14:textId="2C425C61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Memorándum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072-2024-OAJEI-MDB,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fecha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29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febrero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2024,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Asesoría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Integridad,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previo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emitir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opinión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legal,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solicita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Planeamiento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Presupuesto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provea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opinión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técnica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ámbito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competencia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conforme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dispuesto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literal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36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Organización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Funciones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(ROF)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Estructura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Orgánica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Breña;</w:t>
      </w:r>
    </w:p>
    <w:p w14:paraId="08BA06C2" w14:textId="248261D0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Informe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0112-2024-OPP/MDB,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fecha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29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febrero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2024,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Planeamiento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Presupuesto,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concluye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aprobación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propuesta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prohíbe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obstaculización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interrupción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abandono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;</w:t>
      </w:r>
    </w:p>
    <w:p w14:paraId="63A1F0A7" w14:textId="15071298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Informe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286-2024-OAJEI/MDB,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fecha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01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marzo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2024,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Asesoría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Jurídica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Integridad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opina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procedencia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viabilidad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lega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proceda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expedición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prohíbe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obstaculización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interrupción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abandono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Breña;</w:t>
      </w:r>
    </w:p>
    <w:p w14:paraId="569A2F00" w14:textId="5196745B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Memorándum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271-2024-MDB/GM,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fecha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01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marzo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2024,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remite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documentación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obrante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proceder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según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funciones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Secretaría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General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mérito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literal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n),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41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Organización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Funciones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aprobado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595-2023-MDB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fecha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20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noviembre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2023;</w:t>
      </w:r>
    </w:p>
    <w:p w14:paraId="740A0843" w14:textId="286E60AE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Dictamen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03-2024-CDUTSF/MDB,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Comisión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Ordinaria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Desarrollo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Urbano,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Transporte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Saneamiento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Físico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Legal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Concejo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aprueba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unanimidad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elevar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pleno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concejo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proyecto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prohíbe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obstaculización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>interrupción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abandono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Breña;</w:t>
      </w:r>
    </w:p>
    <w:p w14:paraId="3FEBD672" w14:textId="69DE8CB0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expuesto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atribuciones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conferidas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9°,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numeral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8)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40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27972,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Orgánica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Municipalidades;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Concejo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dispensa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trámite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lectura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aprobación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acta,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aprobó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unanimidad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siguiente:</w:t>
      </w:r>
    </w:p>
    <w:p w14:paraId="030D1448" w14:textId="7EAC74A1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Ordenanza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que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prohíbe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la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obstaculización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interrupción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del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uso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los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espacios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públicos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y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el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abandono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bienes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desuso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la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vía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pública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el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distrito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Breña</w:t>
      </w:r>
    </w:p>
    <w:p w14:paraId="27CFC3CF" w14:textId="4CDF5283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Título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I</w:t>
      </w:r>
    </w:p>
    <w:p w14:paraId="689791C6" w14:textId="34299AD0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Disposiciones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generales</w:t>
      </w:r>
    </w:p>
    <w:p w14:paraId="002021F2" w14:textId="058287AD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1°.-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objeto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finalidad.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tiene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objeto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prohibir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obstaculización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interrupción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muebles,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así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abandono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Breña.</w:t>
      </w:r>
    </w:p>
    <w:p w14:paraId="311AF285" w14:textId="776B2167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2°.-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Ámbito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aplicación.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ámbito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circunscribe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jurisdicción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estricto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cumplimiento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todas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aquellas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personas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naturales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jurídicas.</w:t>
      </w:r>
    </w:p>
    <w:p w14:paraId="534CC7E9" w14:textId="0B96ACD9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3°.-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Órgano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competente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Subgerencia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Transporte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acuerdo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funciones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establecidas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Organización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Funciones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(ROF)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órgano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competente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cumplimiento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dispuesto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atención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rol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autónomo,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técnico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especializado.</w:t>
      </w:r>
    </w:p>
    <w:p w14:paraId="23ECC0E4" w14:textId="25B4F5CB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4°.-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Apoyo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otras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instituciones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Subgerencia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Transporte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casos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amerite,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podrá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solicitar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apoyo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fuerza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cumplimiento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requieran,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conformidad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Orgánica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27972,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demás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normas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correspondan.</w:t>
      </w:r>
    </w:p>
    <w:p w14:paraId="4CB0AC3D" w14:textId="25A99534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Subgerencia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Transporte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encarga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detección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impidan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libre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obstruya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accesibilidad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mismos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afecte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ornato,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así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medidas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complementarias,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provisionales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correctivas.</w:t>
      </w:r>
    </w:p>
    <w:p w14:paraId="30CC8FF4" w14:textId="1383E53B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5°.-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Definiciones.</w:t>
      </w:r>
    </w:p>
    <w:p w14:paraId="32BB5DC8" w14:textId="20A6BAC6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1.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Vía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pública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: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vía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sobre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autoridad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competente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impone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restricciones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otorga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concesiones,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permisos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autorizaciones.</w:t>
      </w:r>
    </w:p>
    <w:p w14:paraId="590988D6" w14:textId="1DAE2E11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2.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Espacio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público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: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todo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aquel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abierto,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dominio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destinado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naturaleza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afectación,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satisfacción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necesidades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colectivas,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descanso,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recreación,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expresión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cultural,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intercambio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social,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entretenimiento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transitabilidad,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calles,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plazas,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parques,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complejos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deportivos,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entre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otros.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encuentra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incluido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definición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áreas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dispuestas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berma,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calzada,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vereda,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retiro,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franja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elementos,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zona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amortiguamiento,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jardín,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entre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otras.</w:t>
      </w:r>
    </w:p>
    <w:p w14:paraId="5DD36902" w14:textId="50521B43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lastRenderedPageBreak/>
        <w:t>4.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mueble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: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objeto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elemento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tangible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material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puede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transportado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fácilmente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lugar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otro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manteniendo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integridad.</w:t>
      </w:r>
    </w:p>
    <w:p w14:paraId="127067D1" w14:textId="17327A21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5.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Depósito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municipal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(DM):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local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autorizado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custodia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muebles,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provisto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equipamiento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seguridad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acuerdo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normas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legales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vigentes.</w:t>
      </w:r>
    </w:p>
    <w:p w14:paraId="7D4B7A97" w14:textId="1EB1B305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6.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municipal: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conjunto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actos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diligencias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investigación,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supervisión,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control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inspección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sobre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cumplimiento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obligaciones,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prohibiciones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otros,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derivados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dispositivo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legal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alcance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nacional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local.</w:t>
      </w:r>
    </w:p>
    <w:p w14:paraId="53AADF80" w14:textId="685967F7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7.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Inspector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municipal: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ersonal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dependiente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Subgerencia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Transporte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encarga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constatar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hechos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contrarios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ordenamiento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jurídico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normas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alcance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nacional,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configuren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posible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procediendo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realizar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actuaciones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previas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correspondan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conforme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previsto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facultado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emitir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actas,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informes,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notificaciones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cargo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inicio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procedimiento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sancionador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encarga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ejecutar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medidas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provisionales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corresponda,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según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normativa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vigente.</w:t>
      </w:r>
    </w:p>
    <w:p w14:paraId="5D4D1A06" w14:textId="5FF6C9FA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8.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Acta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fiscalización: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documento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registra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verificación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hechos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constatados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objetivamente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durante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diligencia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elaborada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inspector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municipal.</w:t>
      </w:r>
    </w:p>
    <w:p w14:paraId="71EC40ED" w14:textId="2E36EAA9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9.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Notificación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cargos: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documento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inicia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procedimiento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sancionador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presunta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comisión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administrativa.</w:t>
      </w:r>
    </w:p>
    <w:p w14:paraId="0F83C1C1" w14:textId="55934368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10.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Acta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ejecución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medida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provisional: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documento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cual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deja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constancia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ejecución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provisional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corresponda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acuerdo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Cuadro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Único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(CUIS).</w:t>
      </w:r>
    </w:p>
    <w:p w14:paraId="4CACD41E" w14:textId="762A12D7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11.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Acta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internamiento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municipal: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documento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consigna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estado,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partes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accesorios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cuenta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mueble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momento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ingreso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depósito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municipal,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formulado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suscrito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administrador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encargado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depósito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suscri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inspector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municipal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infractor,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caso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encuentre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identific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ado.</w:t>
      </w:r>
    </w:p>
    <w:p w14:paraId="1D5255EC" w14:textId="1CF3DFC1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12.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Orden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salida: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documento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formulado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suscrito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encargado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depósito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municipal,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ordena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retiro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mueble,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previo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pago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multa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servicios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guardianía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otros,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según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corresponda.</w:t>
      </w:r>
    </w:p>
    <w:p w14:paraId="7AB6FC19" w14:textId="4545C68B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13.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Servicio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grúa: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consiste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servicio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traslado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mueble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desde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punto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intervención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depósito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municipal.</w:t>
      </w:r>
    </w:p>
    <w:p w14:paraId="58F24238" w14:textId="61158100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14.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Sticker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detección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infracción: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papel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autoadhesivo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pegará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bien,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donde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hará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constar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fecha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lugar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donde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ubica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mueble.</w:t>
      </w:r>
    </w:p>
    <w:p w14:paraId="60E330FD" w14:textId="5C986621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15.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Multa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administrativa: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pecuniaria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órgano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resolutor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impone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infractor,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consistente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pago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suma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dinero,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haberse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acreditado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responsabilidad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comisión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durante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>procedimiento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sancionador,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teniendo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consideración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gradualidad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asignada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infracción.</w:t>
      </w:r>
    </w:p>
    <w:p w14:paraId="245FA746" w14:textId="17C51A92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6°.-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Prioridad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ornato,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orden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público,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seguridad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vial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participación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vecinal.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Constituye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necesidad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prioridad,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mantener,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conservar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garantizar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libre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circulación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desplazamiento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vías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áreas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públicas,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incluyendo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áreas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verdes,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así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adecuado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públicos;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quedando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prohibido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propietario,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poseedor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tenedor,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obstaculice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colocación,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ubicación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abandono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muebles</w:t>
      </w:r>
    </w:p>
    <w:p w14:paraId="04A0F90E" w14:textId="350708B7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derecho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vecinos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contribuir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manera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individual,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través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organizaciones,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mantenimiento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conservación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ornato,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cumpliendo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participando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manera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gro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objetivos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establecidos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ordenanza.</w:t>
      </w:r>
    </w:p>
    <w:p w14:paraId="6592657F" w14:textId="44AFC3FB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7°.-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Denuncia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vecinal.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aquella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comunicación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realizada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cualquier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persona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respecto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hechos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considera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contrarios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normas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vigentes,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afecte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derecho.</w:t>
      </w:r>
    </w:p>
    <w:p w14:paraId="3C4CA602" w14:textId="25F8E564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Título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II</w:t>
      </w:r>
    </w:p>
    <w:p w14:paraId="638971A4" w14:textId="7FCA6CCF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Capítulo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I</w:t>
      </w:r>
    </w:p>
    <w:p w14:paraId="7844FDFC" w14:textId="3DC98DE0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De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la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obstaculización,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obstrucción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y/o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interrupción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la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libre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circulación</w:t>
      </w:r>
    </w:p>
    <w:p w14:paraId="219200C3" w14:textId="4E11D5AC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8°.-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Obstrucción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l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libre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circulación.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encuentra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prohibido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obstaculizar,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obstruir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interrumpir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libre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circulación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desplazamiento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vías,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parques,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zonas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estacionamiento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demás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áreas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encuentren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dentro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jurisdicción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Breña.</w:t>
      </w:r>
    </w:p>
    <w:p w14:paraId="793409C2" w14:textId="1A9DA8DA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Capítulo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II</w:t>
      </w:r>
    </w:p>
    <w:p w14:paraId="5C675E45" w14:textId="38332EE5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Del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procedimiento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administrativo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sancionador</w:t>
      </w:r>
    </w:p>
    <w:p w14:paraId="67BD20BD" w14:textId="55E5E175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9°.-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detección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infracción.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constatarse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comisión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alguna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tipificada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Cuadro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Único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inspector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colocar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á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sticker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detección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infracción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lugar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visible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sobre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mueble,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señalando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infracción,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código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lugar,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fecha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hora.</w:t>
      </w:r>
    </w:p>
    <w:p w14:paraId="5D9DDDBB" w14:textId="13C38E8B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aquellos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casos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resulte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aplicable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retiro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otra,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procederá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conforme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ordenanza.</w:t>
      </w:r>
    </w:p>
    <w:p w14:paraId="7D77C039" w14:textId="6AE1E1EF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10.-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notificación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carg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o.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Detectada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iniciará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procedimiento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sancionador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em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isión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notificación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cargo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nombre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propietario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mueble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forme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disposiciones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establecidas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Régimen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(RASA),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contando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(05)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cinco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días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hábiles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formulación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descargos.</w:t>
      </w:r>
    </w:p>
    <w:p w14:paraId="761648BC" w14:textId="2CB5C0A2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Título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III</w:t>
      </w:r>
    </w:p>
    <w:p w14:paraId="758623CD" w14:textId="7186AE43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De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los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bienes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desuso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y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abandonados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la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vía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pública</w:t>
      </w:r>
    </w:p>
    <w:p w14:paraId="5EF1DAAA" w14:textId="0190CF40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11.-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Determinación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estado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abandono.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considerará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abandono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constate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mueble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>permanezca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más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siete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(07)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días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calendario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impidiendo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libre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circulación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desplazamiento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vías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áreas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públicas,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perjudicando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ornato,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ponga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riesgo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seguridad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salud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jurisdicción.</w:t>
      </w:r>
    </w:p>
    <w:p w14:paraId="6A8B157B" w14:textId="251DB818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12.-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Inicio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procedimiento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administrativo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sancionador.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inspector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realizara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constatación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determinación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abandono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verifique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permanencia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más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siete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(07)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días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calendario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bajo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cualquier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siguientes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condiciones:</w:t>
      </w:r>
    </w:p>
    <w:p w14:paraId="74C40671" w14:textId="183BFAA0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signos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evidentes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inmovilización</w:t>
      </w:r>
    </w:p>
    <w:p w14:paraId="1F38196F" w14:textId="6B313710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Afecte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salubridad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seguridad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personas,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afecte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ornato,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limpieza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distrito.</w:t>
      </w:r>
    </w:p>
    <w:p w14:paraId="46347EE1" w14:textId="480FD6AC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hechos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reñidos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contra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moral,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tranquilidad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>ú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blica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buenas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costumbres.</w:t>
      </w:r>
    </w:p>
    <w:p w14:paraId="66F4697C" w14:textId="5C4AE5C3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efecto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ados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sticker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detección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infracc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(SDI)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donde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constará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fecha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lugar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donde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ubique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mueble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desuso,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además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recabar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registros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fotográficos;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contabilizar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plazo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determinación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abandono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iniciar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procedimiento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sancionador.</w:t>
      </w:r>
    </w:p>
    <w:p w14:paraId="497F9B87" w14:textId="20F63FD0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Transcurrido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plazo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correspondiente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levantará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acta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describiendo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condiciones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encuentra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mueble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desuso,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emitiéndose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posteriormente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notificación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cargo.</w:t>
      </w:r>
    </w:p>
    <w:p w14:paraId="709971F3" w14:textId="232BD5E8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13.-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Bienes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con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anotación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requerimientos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preventivos.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Aquellos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muebles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desuso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encuentren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abandonados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búsqueda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preliminares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investigación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verifique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mantiene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encuentra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inmersos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alguna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investigación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policial,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judicial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otra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índole,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pondrá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conocimiento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autoridad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competente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tome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corresponda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realice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retiro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pública.</w:t>
      </w:r>
    </w:p>
    <w:p w14:paraId="49B56BB7" w14:textId="6E49DECA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Título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IV</w:t>
      </w:r>
    </w:p>
    <w:p w14:paraId="4FF22FCF" w14:textId="2DF5E859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Desacato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y/o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obstaculización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las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acciones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fiscalización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y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control</w:t>
      </w:r>
    </w:p>
    <w:p w14:paraId="21314CF4" w14:textId="065F53DA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14.-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Resistencia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desarrollo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ejecución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acciones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control.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obstaculice,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impida,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entorpezca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desarrollo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ejecución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control;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incumplan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alguna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provisional,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correctiva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similar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naturaleza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dictada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autoridad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pasible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inicio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procedimiento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sancionador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desacato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autoridad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acuerdo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disposiciones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establecidas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Régimen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(RASA).</w:t>
      </w:r>
    </w:p>
    <w:p w14:paraId="7B61E296" w14:textId="1FF4048B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Posteriormente,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remitirá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opia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actuados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procuraduría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>ú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blica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municipal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fin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evalué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formulación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denuncia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penal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desobediencia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desacato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autoridad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mun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icipal.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Asimismo,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verificarse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constatarse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durante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control,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hechos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>ocurrencias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contengan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connotación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penal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igual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forma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serán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puesto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s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conocimiento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procurador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>ú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blico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correspondientes.</w:t>
      </w:r>
    </w:p>
    <w:p w14:paraId="753E8C4D" w14:textId="64FCF4F6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Título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V</w:t>
      </w:r>
    </w:p>
    <w:p w14:paraId="7B9950E4" w14:textId="19C3CC5D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Del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retiro,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devolución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abandono</w:t>
      </w:r>
    </w:p>
    <w:p w14:paraId="682D6633" w14:textId="676E0C8B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15.-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Retiro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bien.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Consist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traslado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temporal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depósito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municipal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otro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espacio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determinado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encontraran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obstaculizando,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dificultando,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interrumpiendo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obstruyendo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vías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espacios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públicos,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afecten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conservación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ornato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jurisdicción,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perjudiquen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acceso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predios,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dificulten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accesibilidad,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generen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algún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hecho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forma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objetiva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ponga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riesgo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seguridad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salud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pública;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obligación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exclusiva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propietario,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tenedor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poseedor,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asumir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responsabilidades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derivadas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incumplimiento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dispuesto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cuerpo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normativo.</w:t>
      </w:r>
    </w:p>
    <w:p w14:paraId="6BF0A1BB" w14:textId="6A7714E8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16.-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Condiciones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aplicación.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provisional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inspector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procederá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elaborar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acta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ejecución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medida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provisional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correctiva,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según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corresponda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cuyo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original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quedará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custodia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Subgerencia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Transporte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entregándose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(01)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copia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propietario,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poseedor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tenedor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bien.</w:t>
      </w:r>
    </w:p>
    <w:p w14:paraId="097986D0" w14:textId="23E1E3A2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encuentre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propietario,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poseedor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tenedor,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momento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emisión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acta,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inspector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municipal,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dejará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espacio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público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sticker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informativo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sobre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internamiento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bien.</w:t>
      </w:r>
    </w:p>
    <w:p w14:paraId="1DA49F00" w14:textId="1FC7D9C3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17.-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Entrega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mueble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internado.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podrá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retirado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propietario,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poseedor,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tenedor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haga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veces,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bajo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cumplimiento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siguientes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requisitos:</w:t>
      </w:r>
    </w:p>
    <w:p w14:paraId="4F747D38" w14:textId="4658B032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•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Acreditar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condición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propietario,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tenedor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poseedor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tercero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representación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debidamente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acreditado.</w:t>
      </w:r>
    </w:p>
    <w:p w14:paraId="42F4AC5A" w14:textId="7B664FE0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•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pago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administrativa.</w:t>
      </w:r>
    </w:p>
    <w:p w14:paraId="3F84DED3" w14:textId="09BFDCEE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•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Pago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gastos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administrativos,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traslado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custodia,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otros,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deriven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internamiento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retiro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bien.</w:t>
      </w:r>
    </w:p>
    <w:p w14:paraId="2ADFD583" w14:textId="73410899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18.-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Abandono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mueble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internado.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considerará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abandono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internado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depósito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municipal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cuando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permanezca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periodo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mayor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30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días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calendario,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computados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fecha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resolución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firme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fuera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requerido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autoridad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judicial,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policial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administrativa;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declarado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abandono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Subgerencia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Transporte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declarara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condición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abandono,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poniendo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disposición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Subgerencia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Ejecutoria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Coactiva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correspondientes.</w:t>
      </w:r>
    </w:p>
    <w:p w14:paraId="680EC187" w14:textId="75C624A0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Título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VI</w:t>
      </w:r>
    </w:p>
    <w:p w14:paraId="19234810" w14:textId="62880FAC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Remate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bienes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abandonados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en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el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depósito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municipal</w:t>
      </w:r>
    </w:p>
    <w:p w14:paraId="315300F5" w14:textId="4D9CE9A1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19.-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Remate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internado.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Agotada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vencido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plazo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retirar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inter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nado,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ejecutor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coactivo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competente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podrá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rematar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internado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8F04C8" w:rsidRPr="00CB4E70">
        <w:rPr>
          <w:rFonts w:eastAsia="Times New Roman" w:cs="Arial"/>
          <w:color w:val="000000"/>
          <w:sz w:val="24"/>
          <w:szCs w:val="27"/>
          <w:lang w:eastAsia="es-PE"/>
        </w:rPr>
        <w:t>conform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Texto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único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Ordenado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26979,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cobrando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monto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deuda,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además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costos,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costas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>gastos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produjeron.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dinero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obtenido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remate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cubrirá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obligaciones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generadas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haya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incurrido,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según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siguiente:</w:t>
      </w:r>
    </w:p>
    <w:p w14:paraId="5858811B" w14:textId="356779C6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•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costo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derivado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retiro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traslado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depósito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local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designado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fin.</w:t>
      </w:r>
    </w:p>
    <w:p w14:paraId="565DDB4C" w14:textId="7B975B89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•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costo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guardianía.</w:t>
      </w:r>
    </w:p>
    <w:p w14:paraId="69B2E16D" w14:textId="2C5F5878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•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pago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multa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administrativa.</w:t>
      </w:r>
    </w:p>
    <w:p w14:paraId="0E7F053E" w14:textId="32F0615D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•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costo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remate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</w:p>
    <w:p w14:paraId="39F8CB8E" w14:textId="7EC53AB4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•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Otros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gastos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hayan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generado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producto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remate.</w:t>
      </w:r>
    </w:p>
    <w:p w14:paraId="18A5CAA0" w14:textId="79C8F546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existir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saldo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favor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propietario,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depositado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cuenta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corriente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entidad,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entregado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previa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solicitud,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acreditando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propiedad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fecha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retiro.</w:t>
      </w:r>
    </w:p>
    <w:p w14:paraId="5F0ADD45" w14:textId="3A390E44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20.-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Oportunidad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retiro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bien.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propietario,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podrá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retirar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bien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mueble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hasta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mismo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día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remate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pago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conceptos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antes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descrito,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además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gastos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generados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remate.</w:t>
      </w:r>
    </w:p>
    <w:p w14:paraId="3ED79AB9" w14:textId="26BF3EED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Título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VII</w:t>
      </w:r>
    </w:p>
    <w:p w14:paraId="7057924E" w14:textId="7A39CC72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De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la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multa</w:t>
      </w:r>
    </w:p>
    <w:p w14:paraId="66691604" w14:textId="639650C9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21.-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Régimen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incentivos.</w:t>
      </w:r>
      <w:r w:rsidR="008F04C8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Cualquiera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calificación,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caso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reconozca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forma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expresa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haber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cometido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dará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concluido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procedimiento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sancionador,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aplicándose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beneficios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establecidos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Cuadro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Único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</w:t>
      </w:r>
    </w:p>
    <w:p w14:paraId="687E8898" w14:textId="5DCADD45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beneficio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descuento,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solo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aplicable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dentro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plazos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establecidos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precitada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norma.</w:t>
      </w:r>
    </w:p>
    <w:p w14:paraId="303F83C2" w14:textId="61C55B46" w:rsidR="00CB4E70" w:rsidRPr="00CB4E70" w:rsidRDefault="00CB4E70" w:rsidP="008F04C8">
      <w:pPr>
        <w:spacing w:before="120"/>
        <w:jc w:val="center"/>
        <w:rPr>
          <w:b/>
          <w:bCs/>
          <w:sz w:val="24"/>
          <w:lang w:eastAsia="es-PE"/>
        </w:rPr>
      </w:pPr>
      <w:r w:rsidRPr="00CB4E70">
        <w:rPr>
          <w:b/>
          <w:bCs/>
          <w:sz w:val="24"/>
          <w:lang w:eastAsia="es-PE"/>
        </w:rPr>
        <w:t>Disposiciones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Complementarias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y</w:t>
      </w:r>
      <w:r w:rsidR="008F04C8">
        <w:rPr>
          <w:b/>
          <w:bCs/>
          <w:sz w:val="24"/>
          <w:lang w:eastAsia="es-PE"/>
        </w:rPr>
        <w:t xml:space="preserve"> </w:t>
      </w:r>
      <w:r w:rsidRPr="00CB4E70">
        <w:rPr>
          <w:b/>
          <w:bCs/>
          <w:sz w:val="24"/>
          <w:lang w:eastAsia="es-PE"/>
        </w:rPr>
        <w:t>Finales</w:t>
      </w:r>
    </w:p>
    <w:p w14:paraId="0FAE7921" w14:textId="5F87EA5D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Primero.-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pres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ente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entrará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vigencia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día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siguiente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publicación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Diario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Oficial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Peruano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>".</w:t>
      </w:r>
    </w:p>
    <w:p w14:paraId="33699DB0" w14:textId="3DD14497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Segundo.-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encuen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tre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previsto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aplicará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disposiciones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contenidas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592-2023-MDB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aprueba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nuevo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Aplicación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(RASA)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Cuadro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(CUIS).</w:t>
      </w:r>
    </w:p>
    <w:p w14:paraId="75D33357" w14:textId="2162CB00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Tercero.-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Incorporar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Cuadro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Único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aprobado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contenido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592-2023-MDB,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contenidas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Anexo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.</w:t>
      </w:r>
    </w:p>
    <w:p w14:paraId="4265789B" w14:textId="307D062B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Cuarto.-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Encargar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cumplimiento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Subgerencia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Transporte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Administrativa.</w:t>
      </w:r>
    </w:p>
    <w:p w14:paraId="49D0B0A5" w14:textId="75B9C2A0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Quinto.-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Facultar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señor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alcalde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decreto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alcaldía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expida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normas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reglamentarias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resulten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necesarias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aplicación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orde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nanza.</w:t>
      </w:r>
    </w:p>
    <w:p w14:paraId="661577B7" w14:textId="6679873D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>Sexto.-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Apruébese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siguientes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formatos: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Anexo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1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Cuadro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Único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;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Anexo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2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Sticker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;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Anexo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3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Sticker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forman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parte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integrante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serán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publicadas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portal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institucional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Distrital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Breña.</w:t>
      </w:r>
    </w:p>
    <w:p w14:paraId="609E9626" w14:textId="6941277E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Séptimo.-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Derogar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toda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disposición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oponga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.</w:t>
      </w:r>
    </w:p>
    <w:p w14:paraId="3EF31482" w14:textId="3448A5EC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Octavo.-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Encargar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Unidad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Tecnologías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Información,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publicación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ordenanza,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portal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web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institucional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BB15D5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BB15D5" w:rsidRPr="00CB4E70">
        <w:rPr>
          <w:rFonts w:eastAsia="Times New Roman" w:cs="Arial"/>
          <w:color w:val="000000"/>
          <w:sz w:val="24"/>
          <w:szCs w:val="27"/>
          <w:lang w:eastAsia="es-PE"/>
        </w:rPr>
        <w:t>muni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cipalidad.</w:t>
      </w:r>
    </w:p>
    <w:p w14:paraId="0E669DDD" w14:textId="5F321388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Regístrese,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comuníquese,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publíquese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cúmplase.</w:t>
      </w:r>
    </w:p>
    <w:p w14:paraId="11C2EA93" w14:textId="2D61BB42" w:rsidR="00CB4E70" w:rsidRPr="00CB4E70" w:rsidRDefault="00CB4E70" w:rsidP="008F04C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Luis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Felipe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Mata</w:t>
      </w:r>
      <w:r w:rsidR="008F04C8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Martínez</w:t>
      </w:r>
    </w:p>
    <w:p w14:paraId="7DADC138" w14:textId="77777777" w:rsidR="00CB4E70" w:rsidRPr="00CB4E70" w:rsidRDefault="00CB4E70" w:rsidP="008F04C8">
      <w:pPr>
        <w:spacing w:before="120"/>
        <w:rPr>
          <w:rFonts w:eastAsia="Times New Roman" w:cs="Arial"/>
          <w:color w:val="000000"/>
          <w:szCs w:val="27"/>
          <w:lang w:eastAsia="es-PE"/>
        </w:rPr>
      </w:pPr>
      <w:r w:rsidRPr="00CB4E70">
        <w:rPr>
          <w:rFonts w:eastAsia="Times New Roman" w:cs="Arial"/>
          <w:color w:val="000000"/>
          <w:sz w:val="24"/>
          <w:szCs w:val="27"/>
          <w:lang w:eastAsia="es-PE"/>
        </w:rPr>
        <w:t>Alcalde</w:t>
      </w:r>
    </w:p>
    <w:p w14:paraId="2E549069" w14:textId="27210D16" w:rsidR="00CB4E70" w:rsidRPr="00CB4E70" w:rsidRDefault="00CB4E70" w:rsidP="008F04C8">
      <w:pPr>
        <w:spacing w:before="120"/>
        <w:jc w:val="center"/>
        <w:rPr>
          <w:rFonts w:cs="Arial"/>
        </w:rPr>
      </w:pPr>
      <w:r w:rsidRPr="00CB4E70">
        <w:rPr>
          <w:rFonts w:cs="Arial"/>
        </w:rPr>
        <w:t>Documento</w:t>
      </w:r>
      <w:r w:rsidR="008F04C8">
        <w:rPr>
          <w:rFonts w:cs="Arial"/>
        </w:rPr>
        <w:t xml:space="preserve"> </w:t>
      </w:r>
      <w:r w:rsidRPr="00CB4E70">
        <w:rPr>
          <w:rFonts w:cs="Arial"/>
        </w:rPr>
        <w:t>publicado</w:t>
      </w:r>
      <w:r w:rsidR="008F04C8">
        <w:rPr>
          <w:rFonts w:cs="Arial"/>
        </w:rPr>
        <w:t xml:space="preserve"> </w:t>
      </w:r>
      <w:r w:rsidRPr="00CB4E70">
        <w:rPr>
          <w:rFonts w:cs="Arial"/>
        </w:rPr>
        <w:t>en</w:t>
      </w:r>
      <w:r w:rsidR="008F04C8">
        <w:rPr>
          <w:rFonts w:cs="Arial"/>
        </w:rPr>
        <w:t xml:space="preserve"> </w:t>
      </w:r>
      <w:r w:rsidRPr="00CB4E70">
        <w:rPr>
          <w:rFonts w:cs="Arial"/>
        </w:rPr>
        <w:t>el</w:t>
      </w:r>
      <w:r w:rsidR="008F04C8">
        <w:rPr>
          <w:rFonts w:cs="Arial"/>
        </w:rPr>
        <w:t xml:space="preserve"> </w:t>
      </w:r>
      <w:r w:rsidRPr="00CB4E70">
        <w:rPr>
          <w:rFonts w:cs="Arial"/>
        </w:rPr>
        <w:t>Diario</w:t>
      </w:r>
      <w:r w:rsidR="008F04C8">
        <w:rPr>
          <w:rFonts w:cs="Arial"/>
        </w:rPr>
        <w:t xml:space="preserve"> </w:t>
      </w:r>
      <w:r w:rsidRPr="00CB4E70">
        <w:rPr>
          <w:rFonts w:cs="Arial"/>
        </w:rPr>
        <w:t>Oficial</w:t>
      </w:r>
      <w:r w:rsidR="008F04C8">
        <w:rPr>
          <w:rFonts w:cs="Arial"/>
        </w:rPr>
        <w:t xml:space="preserve"> "</w:t>
      </w:r>
      <w:r w:rsidRPr="00CB4E70">
        <w:rPr>
          <w:rFonts w:cs="Arial"/>
        </w:rPr>
        <w:t>El</w:t>
      </w:r>
      <w:r w:rsidR="008F04C8">
        <w:rPr>
          <w:rFonts w:cs="Arial"/>
        </w:rPr>
        <w:t xml:space="preserve"> </w:t>
      </w:r>
      <w:r w:rsidRPr="00CB4E70">
        <w:rPr>
          <w:rFonts w:cs="Arial"/>
        </w:rPr>
        <w:t>Peruano</w:t>
      </w:r>
      <w:r w:rsidR="008F04C8">
        <w:rPr>
          <w:rFonts w:cs="Arial"/>
        </w:rPr>
        <w:t xml:space="preserve">" </w:t>
      </w:r>
      <w:r w:rsidRPr="00CB4E70">
        <w:rPr>
          <w:rFonts w:cs="Arial"/>
        </w:rPr>
        <w:t>el</w:t>
      </w:r>
      <w:r w:rsidR="008F04C8">
        <w:rPr>
          <w:rFonts w:cs="Arial"/>
        </w:rPr>
        <w:t xml:space="preserve"> </w:t>
      </w:r>
      <w:r w:rsidRPr="00CB4E70">
        <w:rPr>
          <w:rFonts w:cs="Arial"/>
        </w:rPr>
        <w:t>27</w:t>
      </w:r>
      <w:r w:rsidR="008F04C8">
        <w:rPr>
          <w:rFonts w:cs="Arial"/>
        </w:rPr>
        <w:t xml:space="preserve"> </w:t>
      </w:r>
      <w:r w:rsidRPr="00CB4E70">
        <w:rPr>
          <w:rFonts w:cs="Arial"/>
        </w:rPr>
        <w:t>de</w:t>
      </w:r>
      <w:r w:rsidR="008F04C8">
        <w:rPr>
          <w:rFonts w:cs="Arial"/>
        </w:rPr>
        <w:t xml:space="preserve"> </w:t>
      </w:r>
      <w:r w:rsidRPr="00CB4E70">
        <w:rPr>
          <w:rFonts w:cs="Arial"/>
        </w:rPr>
        <w:t>abril</w:t>
      </w:r>
      <w:r w:rsidR="008F04C8">
        <w:rPr>
          <w:rFonts w:cs="Arial"/>
        </w:rPr>
        <w:t xml:space="preserve"> </w:t>
      </w:r>
      <w:r w:rsidRPr="00CB4E70">
        <w:rPr>
          <w:rFonts w:cs="Arial"/>
        </w:rPr>
        <w:t>del</w:t>
      </w:r>
      <w:r w:rsidR="008F04C8">
        <w:rPr>
          <w:rFonts w:cs="Arial"/>
        </w:rPr>
        <w:t xml:space="preserve"> </w:t>
      </w:r>
      <w:r w:rsidRPr="00CB4E70">
        <w:rPr>
          <w:rFonts w:cs="Arial"/>
        </w:rPr>
        <w:t>2024.</w:t>
      </w:r>
    </w:p>
    <w:sectPr w:rsidR="00CB4E70" w:rsidRPr="00CB4E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66B6E" w14:textId="77777777" w:rsidR="001A6DE9" w:rsidRDefault="001A6DE9" w:rsidP="00CB4E70">
      <w:r>
        <w:separator/>
      </w:r>
    </w:p>
  </w:endnote>
  <w:endnote w:type="continuationSeparator" w:id="0">
    <w:p w14:paraId="47189DBC" w14:textId="77777777" w:rsidR="001A6DE9" w:rsidRDefault="001A6DE9" w:rsidP="00CB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1333C" w14:textId="538135BB" w:rsidR="008F04C8" w:rsidRPr="008F04C8" w:rsidRDefault="008F04C8" w:rsidP="008F04C8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>Un</w:t>
    </w:r>
    <w:r>
      <w:rPr>
        <w:rFonts w:ascii="Calibri" w:hAnsi="Calibri"/>
      </w:rPr>
      <w:t xml:space="preserve"> </w:t>
    </w:r>
    <w:r w:rsidRPr="00ED2292">
      <w:rPr>
        <w:rFonts w:ascii="Calibri" w:hAnsi="Calibri"/>
      </w:rPr>
      <w:t>desarrollo</w:t>
    </w:r>
    <w:r>
      <w:rPr>
        <w:rFonts w:ascii="Calibri" w:hAnsi="Calibri"/>
      </w:rPr>
      <w:t xml:space="preserve"> </w:t>
    </w:r>
    <w:r w:rsidRPr="00ED2292">
      <w:rPr>
        <w:rFonts w:ascii="Calibri" w:hAnsi="Calibri"/>
      </w:rPr>
      <w:t>especializado</w:t>
    </w:r>
    <w:r>
      <w:rPr>
        <w:rFonts w:ascii="Calibri" w:hAnsi="Calibri"/>
      </w:rPr>
      <w:t xml:space="preserve"> </w:t>
    </w:r>
    <w:r w:rsidRPr="00ED2292">
      <w:rPr>
        <w:rFonts w:ascii="Calibri" w:hAnsi="Calibri"/>
      </w:rPr>
      <w:t>de</w:t>
    </w:r>
    <w:r>
      <w:rPr>
        <w:rFonts w:ascii="Calibri" w:hAnsi="Calibri"/>
      </w:rPr>
      <w:t xml:space="preserve">         </w:t>
    </w:r>
    <w:r>
      <w:rPr>
        <w:rFonts w:ascii="Calibri" w:hAnsi="Calibri"/>
        <w:noProof/>
        <w:lang w:eastAsia="es-PE"/>
      </w:rPr>
      <w:drawing>
        <wp:inline distT="0" distB="0" distL="0" distR="0" wp14:anchorId="04CCBA55" wp14:editId="59881C5F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2FB46" w14:textId="77777777" w:rsidR="001A6DE9" w:rsidRDefault="001A6DE9" w:rsidP="00CB4E70">
      <w:r>
        <w:separator/>
      </w:r>
    </w:p>
  </w:footnote>
  <w:footnote w:type="continuationSeparator" w:id="0">
    <w:p w14:paraId="251465BE" w14:textId="77777777" w:rsidR="001A6DE9" w:rsidRDefault="001A6DE9" w:rsidP="00CB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F9674" w14:textId="321BED67" w:rsidR="008F04C8" w:rsidRDefault="008F04C8" w:rsidP="008F04C8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40535048" wp14:editId="1047EB56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70"/>
    <w:rsid w:val="0002405D"/>
    <w:rsid w:val="000526BE"/>
    <w:rsid w:val="00096CEC"/>
    <w:rsid w:val="00133291"/>
    <w:rsid w:val="001A6DE9"/>
    <w:rsid w:val="002017D0"/>
    <w:rsid w:val="00580259"/>
    <w:rsid w:val="00615327"/>
    <w:rsid w:val="007B2912"/>
    <w:rsid w:val="007F0EA7"/>
    <w:rsid w:val="008066EB"/>
    <w:rsid w:val="008F04C8"/>
    <w:rsid w:val="008F2267"/>
    <w:rsid w:val="00AA3083"/>
    <w:rsid w:val="00BB15D5"/>
    <w:rsid w:val="00BB3261"/>
    <w:rsid w:val="00C32D53"/>
    <w:rsid w:val="00CB4E70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2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CB4E7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CB4E7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CB4E70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CB4E7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CB4E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cz2">
    <w:name w:val="cz2"/>
    <w:basedOn w:val="Normal"/>
    <w:rsid w:val="00CB4E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">
    <w:name w:val="no-style-override"/>
    <w:basedOn w:val="Fuentedeprrafopredeter"/>
    <w:rsid w:val="00CB4E70"/>
  </w:style>
  <w:style w:type="character" w:customStyle="1" w:styleId="no-style-override-1">
    <w:name w:val="no-style-override-1"/>
    <w:basedOn w:val="Fuentedeprrafopredeter"/>
    <w:rsid w:val="00CB4E70"/>
  </w:style>
  <w:style w:type="paragraph" w:styleId="Encabezado">
    <w:name w:val="header"/>
    <w:basedOn w:val="Normal"/>
    <w:link w:val="EncabezadoCar"/>
    <w:uiPriority w:val="99"/>
    <w:unhideWhenUsed/>
    <w:rsid w:val="00CB4E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E70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B4E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E70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CB4E7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CB4E7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CB4E70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CB4E7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CB4E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cz2">
    <w:name w:val="cz2"/>
    <w:basedOn w:val="Normal"/>
    <w:rsid w:val="00CB4E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">
    <w:name w:val="no-style-override"/>
    <w:basedOn w:val="Fuentedeprrafopredeter"/>
    <w:rsid w:val="00CB4E70"/>
  </w:style>
  <w:style w:type="character" w:customStyle="1" w:styleId="no-style-override-1">
    <w:name w:val="no-style-override-1"/>
    <w:basedOn w:val="Fuentedeprrafopredeter"/>
    <w:rsid w:val="00CB4E70"/>
  </w:style>
  <w:style w:type="paragraph" w:styleId="Encabezado">
    <w:name w:val="header"/>
    <w:basedOn w:val="Normal"/>
    <w:link w:val="EncabezadoCar"/>
    <w:uiPriority w:val="99"/>
    <w:unhideWhenUsed/>
    <w:rsid w:val="00CB4E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E70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B4E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E70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3993</Words>
  <Characters>21964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2024-04-29T14:56:00Z</dcterms:created>
  <dcterms:modified xsi:type="dcterms:W3CDTF">2024-04-29T17:00:00Z</dcterms:modified>
</cp:coreProperties>
</file>