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386FC" w14:textId="7CB102AF" w:rsidR="00F127CD" w:rsidRPr="00F127CD" w:rsidRDefault="00F127CD" w:rsidP="009A4120">
      <w:pPr>
        <w:spacing w:before="120"/>
        <w:jc w:val="center"/>
        <w:rPr>
          <w:b/>
          <w:bCs/>
          <w:sz w:val="24"/>
          <w:lang w:eastAsia="es-PE"/>
        </w:rPr>
      </w:pPr>
      <w:r w:rsidRPr="00F127CD">
        <w:rPr>
          <w:b/>
          <w:bCs/>
          <w:sz w:val="24"/>
          <w:lang w:eastAsia="es-PE"/>
        </w:rPr>
        <w:t>Ordenanza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que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modifica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el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Cuadro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Único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de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Infracciones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y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Sanciones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Administrativas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de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la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Municipalidad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de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Magdalena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del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Mar</w:t>
      </w:r>
    </w:p>
    <w:p w14:paraId="1E8E3F1A" w14:textId="3DB6C6B1" w:rsidR="00F127CD" w:rsidRPr="00F127CD" w:rsidRDefault="00F127CD" w:rsidP="009A4120">
      <w:pPr>
        <w:spacing w:before="120"/>
        <w:jc w:val="center"/>
        <w:rPr>
          <w:b/>
          <w:bCs/>
          <w:sz w:val="24"/>
          <w:lang w:eastAsia="es-PE"/>
        </w:rPr>
      </w:pPr>
      <w:r w:rsidRPr="00F127CD">
        <w:rPr>
          <w:b/>
          <w:bCs/>
          <w:sz w:val="24"/>
          <w:lang w:eastAsia="es-PE"/>
        </w:rPr>
        <w:t>Ordenanza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N.°</w:t>
      </w:r>
      <w:r w:rsidR="009A4120">
        <w:rPr>
          <w:b/>
          <w:bCs/>
          <w:sz w:val="24"/>
          <w:lang w:eastAsia="es-PE"/>
        </w:rPr>
        <w:t xml:space="preserve"> </w:t>
      </w:r>
      <w:bookmarkStart w:id="0" w:name="_GoBack"/>
      <w:r w:rsidRPr="00F127CD">
        <w:rPr>
          <w:b/>
          <w:bCs/>
          <w:sz w:val="24"/>
          <w:lang w:eastAsia="es-PE"/>
        </w:rPr>
        <w:t>220-2024-MDMM</w:t>
      </w:r>
      <w:bookmarkEnd w:id="0"/>
    </w:p>
    <w:p w14:paraId="52177BD8" w14:textId="4435C0FE" w:rsidR="00F127CD" w:rsidRPr="00F127CD" w:rsidRDefault="00F127CD" w:rsidP="009A4120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Magdalena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Mar,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12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abril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2024</w:t>
      </w:r>
    </w:p>
    <w:p w14:paraId="69F6FE89" w14:textId="23832598" w:rsidR="00F127CD" w:rsidRPr="00F127CD" w:rsidRDefault="00F127CD" w:rsidP="009A4120">
      <w:pPr>
        <w:spacing w:before="120"/>
        <w:jc w:val="center"/>
        <w:rPr>
          <w:b/>
          <w:bCs/>
          <w:sz w:val="24"/>
          <w:lang w:eastAsia="es-PE"/>
        </w:rPr>
      </w:pPr>
      <w:r w:rsidRPr="00F127CD">
        <w:rPr>
          <w:b/>
          <w:bCs/>
          <w:sz w:val="24"/>
          <w:lang w:eastAsia="es-PE"/>
        </w:rPr>
        <w:t>Ordenanza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que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modifica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el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Cuadro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Único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de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Infracciones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y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Sanciones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Administrativas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de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la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Municipalidad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de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Magdalena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del</w:t>
      </w:r>
      <w:r w:rsidR="009A4120">
        <w:rPr>
          <w:b/>
          <w:bCs/>
          <w:sz w:val="24"/>
          <w:lang w:eastAsia="es-PE"/>
        </w:rPr>
        <w:t xml:space="preserve"> </w:t>
      </w:r>
      <w:r w:rsidRPr="00F127CD">
        <w:rPr>
          <w:b/>
          <w:bCs/>
          <w:sz w:val="24"/>
          <w:lang w:eastAsia="es-PE"/>
        </w:rPr>
        <w:t>Mar</w:t>
      </w:r>
    </w:p>
    <w:p w14:paraId="438FAB48" w14:textId="0AB1FA5D" w:rsidR="00F127CD" w:rsidRPr="00F127CD" w:rsidRDefault="00F127CD" w:rsidP="009A4120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cuanto</w:t>
      </w:r>
    </w:p>
    <w:p w14:paraId="79AAB701" w14:textId="7DDC87B9" w:rsidR="00F127CD" w:rsidRPr="00F127CD" w:rsidRDefault="00F127CD" w:rsidP="009A4120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Concejo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Municipal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Magdalena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Mar,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Sesión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Ordinaria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07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fecha;</w:t>
      </w:r>
    </w:p>
    <w:p w14:paraId="253B9701" w14:textId="2D2471A5" w:rsidR="00F127CD" w:rsidRPr="00F127CD" w:rsidRDefault="00F127CD" w:rsidP="009A4120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Vistos</w:t>
      </w:r>
    </w:p>
    <w:p w14:paraId="7A1CBBBB" w14:textId="0F544A02" w:rsidR="00F127CD" w:rsidRPr="00F127CD" w:rsidRDefault="00F127CD" w:rsidP="009A4120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9A4120" w:rsidRPr="00F127CD">
        <w:rPr>
          <w:rFonts w:eastAsia="Times New Roman" w:cs="Arial"/>
          <w:color w:val="000000"/>
          <w:sz w:val="24"/>
          <w:szCs w:val="27"/>
          <w:lang w:eastAsia="es-PE"/>
        </w:rPr>
        <w:t>informes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082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120-2024-SGFS-GCSC/MDMM,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emitidos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Subgerencia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Fiscalización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Sanciones;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Informe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225-2024-OGAJ-MDMM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emitido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Oficina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General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Asesoría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Jurídica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Memorando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335-2024-GM/MDMM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emitido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Gerencia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Municipal;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y,</w:t>
      </w:r>
    </w:p>
    <w:p w14:paraId="3B5AE1E1" w14:textId="5311857A" w:rsidR="00F127CD" w:rsidRPr="00F127CD" w:rsidRDefault="00F127CD" w:rsidP="009A4120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Considerando:</w:t>
      </w:r>
    </w:p>
    <w:p w14:paraId="289852C6" w14:textId="04352FE2" w:rsidR="00F127CD" w:rsidRPr="00F127CD" w:rsidRDefault="00F127CD" w:rsidP="009A4120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194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Constitución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Política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Perú,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modificado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30305,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concordado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9A4120" w:rsidRPr="00F127CD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II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Título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Preliminar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27972,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Orgánica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Municipalidades,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establece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gobiernos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locales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gozan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autonomía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política,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económica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administrativa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asuntos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competencia,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potestad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radica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facultad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ejercer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actos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gobierno,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administrativos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administración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sujeción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ordenamiento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jurídico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vigente;</w:t>
      </w:r>
    </w:p>
    <w:p w14:paraId="76AC4E31" w14:textId="36194C6E" w:rsidR="00F127CD" w:rsidRPr="00F127CD" w:rsidRDefault="00F127CD" w:rsidP="009A4120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46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mencionada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27972,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modificado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31914,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establece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"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ordenanzas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determinan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régimen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administrativas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infracción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sus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disposiciones,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estableciendo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escalas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multas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función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gravedad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falta,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así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como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imposición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pecuniarias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tales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como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multa,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revocación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autorizaciones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licencias,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clausura,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decomiso,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retención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productos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mobiliario,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retiro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elementos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antirreglamentarios,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paralización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obras,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demolición,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internamiento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vehículos,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inmovilización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productos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otras;</w:t>
      </w:r>
    </w:p>
    <w:p w14:paraId="4B40ACF4" w14:textId="59477D02" w:rsidR="00F127CD" w:rsidRPr="00F127CD" w:rsidRDefault="00F127CD" w:rsidP="009A4120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84,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numeral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2.10,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misma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norma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prescribe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como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función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específica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exclusiva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municipalidades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distritales,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materia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programas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sociales,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defensa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promoción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derechos,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entre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otras,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"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resolver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administrativamente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conflictos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entre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vecinos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fiscalizar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cumplimiento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acuerdos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juntas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propietarios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edificios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juntas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vecinales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localidad,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facultad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imponer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dichos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incumplimientos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(...)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;</w:t>
      </w:r>
    </w:p>
    <w:p w14:paraId="0B37EFED" w14:textId="1FC9A143" w:rsidR="00F127CD" w:rsidRPr="00F127CD" w:rsidRDefault="00F127CD" w:rsidP="009A4120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7°,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literal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a),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2419-2021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Municipalidad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Metropolitana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Lima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establece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municipalidades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distritales,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dentro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jurisdicción,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son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competentes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"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controlar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fiscalizar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emisión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ruido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originado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actividades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comerciales,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servicios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actividades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domésticas,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cuando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esto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genere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una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afectación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ambiente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;</w:t>
      </w:r>
    </w:p>
    <w:p w14:paraId="7BFBFE0F" w14:textId="08A61463" w:rsidR="00F127CD" w:rsidRPr="00F127CD" w:rsidRDefault="00F127CD" w:rsidP="009A4120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lastRenderedPageBreak/>
        <w:t>Que,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ese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contexto,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literales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c)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d)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16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Régimen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regulación,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prevención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control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contaminación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sonora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distrito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Magdalena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Mar,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aprobado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083-2020-MDMM,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establecen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actividades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susceptibles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generar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contaminación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sonora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perjuicio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tranquilidad,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salud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bienes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personas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calidad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ambiente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son,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entre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otras: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"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c)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toda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instalación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funcionamiento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equipos,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máquinas,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aparatos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electromecánicos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general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todos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emisores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acústicos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públicos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privados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su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funcionamiento,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uso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ejercicio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genere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contaminación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sonora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"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"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d)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actividades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tolerables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convivencia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comportamiento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relaciones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vecinales,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así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como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funcionamiento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equipos,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uso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instrumentos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musicales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comportamiento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animales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domésticos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compañía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generen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contaminación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sonora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;</w:t>
      </w:r>
    </w:p>
    <w:p w14:paraId="0D4E70AD" w14:textId="68E1707F" w:rsidR="00F127CD" w:rsidRPr="00F127CD" w:rsidRDefault="00F127CD" w:rsidP="009A4120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través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030-2015-MDMM,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publicada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20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noviembre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2015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9A4120" w:rsidRPr="00F127CD">
        <w:rPr>
          <w:rFonts w:eastAsia="Times New Roman" w:cs="Arial"/>
          <w:color w:val="000000"/>
          <w:sz w:val="24"/>
          <w:szCs w:val="27"/>
          <w:lang w:eastAsia="es-PE"/>
        </w:rPr>
        <w:t>Diario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9A4120" w:rsidRPr="00F127CD">
        <w:rPr>
          <w:rFonts w:eastAsia="Times New Roman" w:cs="Arial"/>
          <w:color w:val="000000"/>
          <w:sz w:val="24"/>
          <w:szCs w:val="27"/>
          <w:lang w:eastAsia="es-PE"/>
        </w:rPr>
        <w:t>Oficial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Peruano,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sus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ulteriores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modificatorias,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aprueba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Cuadro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Único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Infracciones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Administrativas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(CUIS)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Municipalidad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Distrital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Magdalena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Mar;</w:t>
      </w:r>
    </w:p>
    <w:p w14:paraId="15454DA1" w14:textId="226D8237" w:rsidR="00F127CD" w:rsidRPr="00F127CD" w:rsidRDefault="00F127CD" w:rsidP="009A4120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medio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sendos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informes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visto,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Subgerencia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Fiscalización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Sanciones,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dentro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sus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competencias,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considera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necesario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contar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un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código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infracción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permita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entidad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fiscalizar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ser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caso,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sancionar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aquellas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juntas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directivas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propietarios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permitan,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autoricen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y/o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avalen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realización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actividades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áreas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comunes,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espacios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recreativos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u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otros,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generen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ruidos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molestos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perjuicio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vecinos,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para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tal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efecto,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propone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modificar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CUIS,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fin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incluir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Código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Infracción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1298;</w:t>
      </w:r>
    </w:p>
    <w:p w14:paraId="1EBFD67B" w14:textId="5B39843A" w:rsidR="00F127CD" w:rsidRPr="00F127CD" w:rsidRDefault="00F127CD" w:rsidP="009A4120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dicho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contexto,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Oficina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General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Asesoría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Jurídica,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medio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informe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visto,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emite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opinión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legal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favorable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respecto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modificación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Cuadro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Único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Infracciones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Administrativas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fin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incluir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código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infracción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1298,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toda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vez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que,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según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refiere,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propuesta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cuenta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pleno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asidero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normativo;</w:t>
      </w:r>
    </w:p>
    <w:p w14:paraId="409400FA" w14:textId="3DAB8017" w:rsidR="00F127CD" w:rsidRPr="00F127CD" w:rsidRDefault="00F127CD" w:rsidP="009A4120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Estando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fundamentos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expuestos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uso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facultades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conferidas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9°,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numeral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8)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40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27972,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Ley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Orgánica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Municipalidades,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Concejo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Municipal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Magdalena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Mar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aprobó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por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unanimidad,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dispensa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trámite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comisiones,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así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como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lectura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aprobación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acta,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siguiente:</w:t>
      </w:r>
    </w:p>
    <w:p w14:paraId="08F65DED" w14:textId="5B2F703C" w:rsidR="00F127CD" w:rsidRPr="00F127CD" w:rsidRDefault="00F127CD" w:rsidP="009A4120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</w:p>
    <w:p w14:paraId="6E7DFE2C" w14:textId="3CE4AB41" w:rsidR="00F127CD" w:rsidRDefault="00F127CD" w:rsidP="009A4120">
      <w:pPr>
        <w:spacing w:before="120" w:after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Primero.-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Modificar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Cuadro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Único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Infracciones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Sanciones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Administrativas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Municipalidad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Magdalena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Mar,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aprobado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mediante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030-2015-MDMM,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sus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modificatorias,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fin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incluir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Código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Infracción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N.°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1298,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según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siguiente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detalle: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992"/>
        <w:gridCol w:w="1134"/>
        <w:gridCol w:w="1753"/>
      </w:tblGrid>
      <w:tr w:rsidR="009A4120" w:rsidRPr="009A4120" w14:paraId="3114EC93" w14:textId="77777777" w:rsidTr="009A4120">
        <w:tc>
          <w:tcPr>
            <w:tcW w:w="8665" w:type="dxa"/>
            <w:gridSpan w:val="5"/>
          </w:tcPr>
          <w:p w14:paraId="77988435" w14:textId="37A0A0B7" w:rsidR="009A4120" w:rsidRPr="009A4120" w:rsidRDefault="009A4120" w:rsidP="009A4120">
            <w:pPr>
              <w:jc w:val="center"/>
              <w:rPr>
                <w:rFonts w:eastAsia="Times New Roman" w:cs="Arial"/>
                <w:b/>
                <w:color w:val="000000"/>
                <w:szCs w:val="20"/>
                <w:lang w:eastAsia="es-PE"/>
              </w:rPr>
            </w:pPr>
            <w:r w:rsidRPr="009A4120">
              <w:rPr>
                <w:rFonts w:eastAsia="Times New Roman" w:cs="Arial"/>
                <w:b/>
                <w:color w:val="000000"/>
                <w:szCs w:val="20"/>
                <w:lang w:eastAsia="es-PE"/>
              </w:rPr>
              <w:t>Cuadro Único de Infracciones Administrativas</w:t>
            </w:r>
          </w:p>
        </w:tc>
      </w:tr>
      <w:tr w:rsidR="009A4120" w:rsidRPr="009A4120" w14:paraId="0FC8CF6C" w14:textId="77777777" w:rsidTr="009A4120">
        <w:tc>
          <w:tcPr>
            <w:tcW w:w="959" w:type="dxa"/>
            <w:vAlign w:val="center"/>
          </w:tcPr>
          <w:p w14:paraId="0AC49EE5" w14:textId="77777777" w:rsidR="009A4120" w:rsidRPr="009A4120" w:rsidRDefault="009A4120" w:rsidP="009A4120">
            <w:pPr>
              <w:jc w:val="center"/>
              <w:rPr>
                <w:rFonts w:eastAsia="Times New Roman" w:cs="Arial"/>
                <w:b/>
                <w:color w:val="000000"/>
                <w:szCs w:val="20"/>
                <w:lang w:eastAsia="es-PE"/>
              </w:rPr>
            </w:pPr>
            <w:r w:rsidRPr="009A4120">
              <w:rPr>
                <w:rFonts w:eastAsia="Times New Roman" w:cs="Arial"/>
                <w:b/>
                <w:color w:val="000000"/>
                <w:szCs w:val="20"/>
                <w:lang w:eastAsia="es-PE"/>
              </w:rPr>
              <w:t>Código</w:t>
            </w:r>
          </w:p>
        </w:tc>
        <w:tc>
          <w:tcPr>
            <w:tcW w:w="3827" w:type="dxa"/>
            <w:vAlign w:val="center"/>
          </w:tcPr>
          <w:p w14:paraId="3410625A" w14:textId="77777777" w:rsidR="009A4120" w:rsidRPr="009A4120" w:rsidRDefault="009A4120" w:rsidP="009A4120">
            <w:pPr>
              <w:jc w:val="center"/>
              <w:rPr>
                <w:rFonts w:eastAsia="Times New Roman" w:cs="Arial"/>
                <w:b/>
                <w:color w:val="000000"/>
                <w:szCs w:val="20"/>
                <w:lang w:eastAsia="es-PE"/>
              </w:rPr>
            </w:pPr>
            <w:r w:rsidRPr="009A4120">
              <w:rPr>
                <w:rFonts w:eastAsia="Times New Roman" w:cs="Arial"/>
                <w:b/>
                <w:color w:val="000000"/>
                <w:szCs w:val="20"/>
                <w:lang w:eastAsia="es-PE"/>
              </w:rPr>
              <w:t>Descripción</w:t>
            </w:r>
          </w:p>
        </w:tc>
        <w:tc>
          <w:tcPr>
            <w:tcW w:w="992" w:type="dxa"/>
            <w:vAlign w:val="center"/>
          </w:tcPr>
          <w:p w14:paraId="7399E225" w14:textId="77777777" w:rsidR="009A4120" w:rsidRPr="009A4120" w:rsidRDefault="009A4120" w:rsidP="009A4120">
            <w:pPr>
              <w:jc w:val="center"/>
              <w:rPr>
                <w:rFonts w:eastAsia="Times New Roman" w:cs="Arial"/>
                <w:b/>
                <w:color w:val="000000"/>
                <w:szCs w:val="20"/>
                <w:lang w:eastAsia="es-PE"/>
              </w:rPr>
            </w:pPr>
            <w:r w:rsidRPr="009A4120">
              <w:rPr>
                <w:rFonts w:eastAsia="Times New Roman" w:cs="Arial"/>
                <w:b/>
                <w:color w:val="000000"/>
                <w:szCs w:val="20"/>
                <w:lang w:eastAsia="es-PE"/>
              </w:rPr>
              <w:t>%</w:t>
            </w:r>
          </w:p>
        </w:tc>
        <w:tc>
          <w:tcPr>
            <w:tcW w:w="1134" w:type="dxa"/>
            <w:vAlign w:val="center"/>
          </w:tcPr>
          <w:p w14:paraId="7185A245" w14:textId="77777777" w:rsidR="009A4120" w:rsidRPr="009A4120" w:rsidRDefault="009A4120" w:rsidP="009A4120">
            <w:pPr>
              <w:jc w:val="center"/>
              <w:rPr>
                <w:rFonts w:eastAsia="Times New Roman" w:cs="Arial"/>
                <w:b/>
                <w:color w:val="000000"/>
                <w:szCs w:val="20"/>
                <w:lang w:eastAsia="es-PE"/>
              </w:rPr>
            </w:pPr>
            <w:r w:rsidRPr="009A4120">
              <w:rPr>
                <w:rFonts w:eastAsia="Times New Roman" w:cs="Arial"/>
                <w:b/>
                <w:color w:val="000000"/>
                <w:szCs w:val="20"/>
                <w:lang w:eastAsia="es-PE"/>
              </w:rPr>
              <w:t>Base</w:t>
            </w:r>
          </w:p>
        </w:tc>
        <w:tc>
          <w:tcPr>
            <w:tcW w:w="1753" w:type="dxa"/>
            <w:vAlign w:val="center"/>
          </w:tcPr>
          <w:p w14:paraId="2EAF226F" w14:textId="77777777" w:rsidR="009A4120" w:rsidRPr="009A4120" w:rsidRDefault="009A4120" w:rsidP="009A4120">
            <w:pPr>
              <w:jc w:val="center"/>
              <w:rPr>
                <w:rFonts w:eastAsia="Times New Roman" w:cs="Arial"/>
                <w:b/>
                <w:color w:val="000000"/>
                <w:szCs w:val="20"/>
                <w:lang w:eastAsia="es-PE"/>
              </w:rPr>
            </w:pPr>
            <w:r w:rsidRPr="009A4120">
              <w:rPr>
                <w:rFonts w:eastAsia="Times New Roman" w:cs="Arial"/>
                <w:b/>
                <w:color w:val="000000"/>
                <w:szCs w:val="20"/>
                <w:lang w:eastAsia="es-PE"/>
              </w:rPr>
              <w:t>Medida complementaria</w:t>
            </w:r>
          </w:p>
        </w:tc>
      </w:tr>
      <w:tr w:rsidR="009A4120" w14:paraId="5AF88472" w14:textId="77777777" w:rsidTr="009A4120">
        <w:tc>
          <w:tcPr>
            <w:tcW w:w="959" w:type="dxa"/>
            <w:vAlign w:val="center"/>
          </w:tcPr>
          <w:p w14:paraId="25CA2692" w14:textId="77777777" w:rsidR="009A4120" w:rsidRPr="009A4120" w:rsidRDefault="009A4120" w:rsidP="009A4120">
            <w:pPr>
              <w:jc w:val="center"/>
              <w:rPr>
                <w:rFonts w:eastAsia="Times New Roman" w:cs="Arial"/>
                <w:color w:val="000000"/>
                <w:szCs w:val="20"/>
                <w:lang w:eastAsia="es-PE"/>
              </w:rPr>
            </w:pPr>
            <w:r w:rsidRPr="009A4120">
              <w:rPr>
                <w:rFonts w:eastAsia="Times New Roman" w:cs="Arial"/>
                <w:color w:val="000000"/>
                <w:szCs w:val="20"/>
                <w:lang w:eastAsia="es-PE"/>
              </w:rPr>
              <w:t>1298</w:t>
            </w:r>
          </w:p>
        </w:tc>
        <w:tc>
          <w:tcPr>
            <w:tcW w:w="3827" w:type="dxa"/>
          </w:tcPr>
          <w:p w14:paraId="57367BB1" w14:textId="77777777" w:rsidR="009A4120" w:rsidRPr="009A4120" w:rsidRDefault="009A4120" w:rsidP="00835954">
            <w:pPr>
              <w:rPr>
                <w:rFonts w:eastAsia="Times New Roman" w:cs="Arial"/>
                <w:color w:val="000000"/>
                <w:szCs w:val="20"/>
                <w:lang w:eastAsia="es-PE"/>
              </w:rPr>
            </w:pPr>
            <w:r w:rsidRPr="009A4120">
              <w:rPr>
                <w:rFonts w:eastAsia="Times New Roman" w:cs="Arial"/>
                <w:color w:val="000000"/>
                <w:szCs w:val="20"/>
                <w:lang w:eastAsia="es-PE"/>
              </w:rPr>
              <w:t xml:space="preserve">Por permitir la junta directiva y/o junta de propietarios el uso de áreas comunes, espacios recreativos u otros para el desarrollo de actividades que generen ruidos molestos en perjuicio de </w:t>
            </w:r>
            <w:r w:rsidRPr="009A4120">
              <w:rPr>
                <w:rFonts w:eastAsia="Times New Roman" w:cs="Arial"/>
                <w:color w:val="000000"/>
                <w:szCs w:val="20"/>
                <w:lang w:eastAsia="es-PE"/>
              </w:rPr>
              <w:lastRenderedPageBreak/>
              <w:t>los vecinos</w:t>
            </w:r>
          </w:p>
        </w:tc>
        <w:tc>
          <w:tcPr>
            <w:tcW w:w="992" w:type="dxa"/>
            <w:vAlign w:val="center"/>
          </w:tcPr>
          <w:p w14:paraId="6034082B" w14:textId="77777777" w:rsidR="009A4120" w:rsidRPr="009A4120" w:rsidRDefault="009A4120" w:rsidP="009A4120">
            <w:pPr>
              <w:jc w:val="center"/>
              <w:rPr>
                <w:rFonts w:eastAsia="Times New Roman" w:cs="Arial"/>
                <w:color w:val="000000"/>
                <w:szCs w:val="20"/>
                <w:lang w:eastAsia="es-PE"/>
              </w:rPr>
            </w:pPr>
            <w:r w:rsidRPr="009A4120">
              <w:rPr>
                <w:rFonts w:eastAsia="Times New Roman" w:cs="Arial"/>
                <w:color w:val="000000"/>
                <w:szCs w:val="20"/>
                <w:lang w:eastAsia="es-PE"/>
              </w:rPr>
              <w:lastRenderedPageBreak/>
              <w:t>50</w:t>
            </w:r>
          </w:p>
        </w:tc>
        <w:tc>
          <w:tcPr>
            <w:tcW w:w="1134" w:type="dxa"/>
            <w:vAlign w:val="center"/>
          </w:tcPr>
          <w:p w14:paraId="472A55C7" w14:textId="77777777" w:rsidR="009A4120" w:rsidRPr="009A4120" w:rsidRDefault="009A4120" w:rsidP="009A4120">
            <w:pPr>
              <w:jc w:val="center"/>
              <w:rPr>
                <w:rFonts w:eastAsia="Times New Roman" w:cs="Arial"/>
                <w:color w:val="000000"/>
                <w:szCs w:val="20"/>
                <w:lang w:eastAsia="es-PE"/>
              </w:rPr>
            </w:pPr>
            <w:r w:rsidRPr="009A4120">
              <w:rPr>
                <w:rFonts w:eastAsia="Times New Roman" w:cs="Arial"/>
                <w:color w:val="000000"/>
                <w:szCs w:val="20"/>
                <w:lang w:eastAsia="es-PE"/>
              </w:rPr>
              <w:t>UIT</w:t>
            </w:r>
          </w:p>
        </w:tc>
        <w:tc>
          <w:tcPr>
            <w:tcW w:w="1753" w:type="dxa"/>
            <w:vAlign w:val="center"/>
          </w:tcPr>
          <w:p w14:paraId="3E298C4F" w14:textId="77777777" w:rsidR="009A4120" w:rsidRDefault="009A4120" w:rsidP="009A4120">
            <w:pPr>
              <w:jc w:val="center"/>
              <w:rPr>
                <w:rFonts w:eastAsia="Times New Roman" w:cs="Arial"/>
                <w:color w:val="000000"/>
                <w:sz w:val="24"/>
                <w:szCs w:val="27"/>
                <w:lang w:eastAsia="es-PE"/>
              </w:rPr>
            </w:pPr>
            <w:r w:rsidRPr="009A4120">
              <w:rPr>
                <w:rFonts w:eastAsia="Times New Roman" w:cs="Arial"/>
                <w:color w:val="000000"/>
                <w:szCs w:val="20"/>
                <w:lang w:eastAsia="es-PE"/>
              </w:rPr>
              <w:t>--</w:t>
            </w:r>
          </w:p>
        </w:tc>
      </w:tr>
    </w:tbl>
    <w:p w14:paraId="374DF288" w14:textId="32255766" w:rsidR="00F127CD" w:rsidRPr="00F127CD" w:rsidRDefault="00F127CD" w:rsidP="009A4120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lastRenderedPageBreak/>
        <w:t>Artículo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Segundo.-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Encargar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Gerencia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Control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Seguridad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Ciudadana,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Subgerencia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Fiscalización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Sanciones,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así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como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demás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órganos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unidades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orgánicas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entidad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resultaren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competentes,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cabal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cumplimiento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ordenanza.</w:t>
      </w:r>
    </w:p>
    <w:p w14:paraId="445E2791" w14:textId="156FD7CC" w:rsidR="00F127CD" w:rsidRPr="00F127CD" w:rsidRDefault="00F127CD" w:rsidP="009A4120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Tercero.-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Dejar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sin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efecto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toda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norma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disposición,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misma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inferior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jerarquía,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que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se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oponga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dispuesto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ordenanza.</w:t>
      </w:r>
    </w:p>
    <w:p w14:paraId="6B20CF8C" w14:textId="5CCCCE7B" w:rsidR="00F127CD" w:rsidRPr="00F127CD" w:rsidRDefault="00F127CD" w:rsidP="009A4120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Artículo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Cuarto.-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Disponer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publicación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presente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9A4120" w:rsidRPr="00F127CD">
        <w:rPr>
          <w:rFonts w:eastAsia="Times New Roman" w:cs="Arial"/>
          <w:color w:val="000000"/>
          <w:sz w:val="24"/>
          <w:szCs w:val="27"/>
          <w:lang w:eastAsia="es-PE"/>
        </w:rPr>
        <w:t>ordenanza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9A4120" w:rsidRPr="00F127CD">
        <w:rPr>
          <w:rFonts w:eastAsia="Times New Roman" w:cs="Arial"/>
          <w:color w:val="000000"/>
          <w:sz w:val="24"/>
          <w:szCs w:val="27"/>
          <w:lang w:eastAsia="es-PE"/>
        </w:rPr>
        <w:t>Diario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="009A4120" w:rsidRPr="00F127CD">
        <w:rPr>
          <w:rFonts w:eastAsia="Times New Roman" w:cs="Arial"/>
          <w:color w:val="000000"/>
          <w:sz w:val="24"/>
          <w:szCs w:val="27"/>
          <w:lang w:eastAsia="es-PE"/>
        </w:rPr>
        <w:t>Oficial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Peruano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la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Plataforma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Digital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Única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del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Estado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Peruano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(www.gob.pe).</w:t>
      </w:r>
    </w:p>
    <w:p w14:paraId="64C720F3" w14:textId="5041086C" w:rsidR="00F127CD" w:rsidRPr="00F127CD" w:rsidRDefault="00F127CD" w:rsidP="009A4120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Regístrese,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comuníquese,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publíquese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y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cúmplase.</w:t>
      </w:r>
    </w:p>
    <w:p w14:paraId="4647E41E" w14:textId="49685D1E" w:rsidR="00F127CD" w:rsidRPr="00F127CD" w:rsidRDefault="00F127CD" w:rsidP="009A4120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Francis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James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Allison</w:t>
      </w:r>
      <w:r w:rsidR="009A4120">
        <w:rPr>
          <w:rFonts w:eastAsia="Times New Roman" w:cs="Arial"/>
          <w:color w:val="000000"/>
          <w:sz w:val="24"/>
          <w:szCs w:val="27"/>
          <w:lang w:eastAsia="es-PE"/>
        </w:rPr>
        <w:t xml:space="preserve"> </w:t>
      </w: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Oyague</w:t>
      </w:r>
    </w:p>
    <w:p w14:paraId="4F072492" w14:textId="77777777" w:rsidR="00F127CD" w:rsidRPr="00F127CD" w:rsidRDefault="00F127CD" w:rsidP="009A4120">
      <w:pPr>
        <w:spacing w:before="120"/>
        <w:rPr>
          <w:rFonts w:eastAsia="Times New Roman" w:cs="Arial"/>
          <w:color w:val="000000"/>
          <w:szCs w:val="27"/>
          <w:lang w:eastAsia="es-PE"/>
        </w:rPr>
      </w:pPr>
      <w:r w:rsidRPr="00F127CD">
        <w:rPr>
          <w:rFonts w:eastAsia="Times New Roman" w:cs="Arial"/>
          <w:color w:val="000000"/>
          <w:sz w:val="24"/>
          <w:szCs w:val="27"/>
          <w:lang w:eastAsia="es-PE"/>
        </w:rPr>
        <w:t>Alcalde</w:t>
      </w:r>
    </w:p>
    <w:p w14:paraId="272F9914" w14:textId="7D47CC58" w:rsidR="00F127CD" w:rsidRPr="00F127CD" w:rsidRDefault="00F127CD" w:rsidP="009A4120">
      <w:pPr>
        <w:spacing w:before="120"/>
        <w:jc w:val="center"/>
        <w:rPr>
          <w:rFonts w:cs="Arial"/>
        </w:rPr>
      </w:pPr>
      <w:r w:rsidRPr="00F127CD">
        <w:rPr>
          <w:rFonts w:cs="Arial"/>
        </w:rPr>
        <w:t>Documento</w:t>
      </w:r>
      <w:r w:rsidR="009A4120">
        <w:rPr>
          <w:rFonts w:cs="Arial"/>
        </w:rPr>
        <w:t xml:space="preserve"> </w:t>
      </w:r>
      <w:r w:rsidRPr="00F127CD">
        <w:rPr>
          <w:rFonts w:cs="Arial"/>
        </w:rPr>
        <w:t>publicado</w:t>
      </w:r>
      <w:r w:rsidR="009A4120">
        <w:rPr>
          <w:rFonts w:cs="Arial"/>
        </w:rPr>
        <w:t xml:space="preserve"> </w:t>
      </w:r>
      <w:r w:rsidRPr="00F127CD">
        <w:rPr>
          <w:rFonts w:cs="Arial"/>
        </w:rPr>
        <w:t>en</w:t>
      </w:r>
      <w:r w:rsidR="009A4120">
        <w:rPr>
          <w:rFonts w:cs="Arial"/>
        </w:rPr>
        <w:t xml:space="preserve"> </w:t>
      </w:r>
      <w:r w:rsidRPr="00F127CD">
        <w:rPr>
          <w:rFonts w:cs="Arial"/>
        </w:rPr>
        <w:t>el</w:t>
      </w:r>
      <w:r w:rsidR="009A4120">
        <w:rPr>
          <w:rFonts w:cs="Arial"/>
        </w:rPr>
        <w:t xml:space="preserve"> </w:t>
      </w:r>
      <w:r w:rsidRPr="00F127CD">
        <w:rPr>
          <w:rFonts w:cs="Arial"/>
        </w:rPr>
        <w:t>Diario</w:t>
      </w:r>
      <w:r w:rsidR="009A4120">
        <w:rPr>
          <w:rFonts w:cs="Arial"/>
        </w:rPr>
        <w:t xml:space="preserve"> </w:t>
      </w:r>
      <w:r w:rsidRPr="00F127CD">
        <w:rPr>
          <w:rFonts w:cs="Arial"/>
        </w:rPr>
        <w:t>Oficial</w:t>
      </w:r>
      <w:r w:rsidR="009A4120">
        <w:rPr>
          <w:rFonts w:cs="Arial"/>
        </w:rPr>
        <w:t xml:space="preserve"> "</w:t>
      </w:r>
      <w:r w:rsidRPr="00F127CD">
        <w:rPr>
          <w:rFonts w:cs="Arial"/>
        </w:rPr>
        <w:t>El</w:t>
      </w:r>
      <w:r w:rsidR="009A4120">
        <w:rPr>
          <w:rFonts w:cs="Arial"/>
        </w:rPr>
        <w:t xml:space="preserve"> </w:t>
      </w:r>
      <w:r w:rsidRPr="00F127CD">
        <w:rPr>
          <w:rFonts w:cs="Arial"/>
        </w:rPr>
        <w:t>Peruano</w:t>
      </w:r>
      <w:r w:rsidR="009A4120">
        <w:rPr>
          <w:rFonts w:cs="Arial"/>
        </w:rPr>
        <w:t xml:space="preserve">" </w:t>
      </w:r>
      <w:r w:rsidRPr="00F127CD">
        <w:rPr>
          <w:rFonts w:cs="Arial"/>
        </w:rPr>
        <w:t>el</w:t>
      </w:r>
      <w:r w:rsidR="009A4120">
        <w:rPr>
          <w:rFonts w:cs="Arial"/>
        </w:rPr>
        <w:t xml:space="preserve"> </w:t>
      </w:r>
      <w:r w:rsidRPr="00F127CD">
        <w:rPr>
          <w:rFonts w:cs="Arial"/>
        </w:rPr>
        <w:t>21</w:t>
      </w:r>
      <w:r w:rsidR="009A4120">
        <w:rPr>
          <w:rFonts w:cs="Arial"/>
        </w:rPr>
        <w:t xml:space="preserve"> </w:t>
      </w:r>
      <w:r w:rsidRPr="00F127CD">
        <w:rPr>
          <w:rFonts w:cs="Arial"/>
        </w:rPr>
        <w:t>de</w:t>
      </w:r>
      <w:r w:rsidR="009A4120">
        <w:rPr>
          <w:rFonts w:cs="Arial"/>
        </w:rPr>
        <w:t xml:space="preserve"> </w:t>
      </w:r>
      <w:r w:rsidRPr="00F127CD">
        <w:rPr>
          <w:rFonts w:cs="Arial"/>
        </w:rPr>
        <w:t>abril</w:t>
      </w:r>
      <w:r w:rsidR="009A4120">
        <w:rPr>
          <w:rFonts w:cs="Arial"/>
        </w:rPr>
        <w:t xml:space="preserve"> </w:t>
      </w:r>
      <w:r w:rsidRPr="00F127CD">
        <w:rPr>
          <w:rFonts w:cs="Arial"/>
        </w:rPr>
        <w:t>del</w:t>
      </w:r>
      <w:r w:rsidR="009A4120">
        <w:rPr>
          <w:rFonts w:cs="Arial"/>
        </w:rPr>
        <w:t xml:space="preserve"> </w:t>
      </w:r>
      <w:r w:rsidRPr="00F127CD">
        <w:rPr>
          <w:rFonts w:cs="Arial"/>
        </w:rPr>
        <w:t>2024.</w:t>
      </w:r>
    </w:p>
    <w:sectPr w:rsidR="00F127CD" w:rsidRPr="00F127C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477AD" w14:textId="77777777" w:rsidR="00F50A8C" w:rsidRDefault="00F50A8C" w:rsidP="00F127CD">
      <w:r>
        <w:separator/>
      </w:r>
    </w:p>
  </w:endnote>
  <w:endnote w:type="continuationSeparator" w:id="0">
    <w:p w14:paraId="0632FD7C" w14:textId="77777777" w:rsidR="00F50A8C" w:rsidRDefault="00F50A8C" w:rsidP="00F1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6F6E6" w14:textId="645F59E8" w:rsidR="00F127CD" w:rsidRPr="009A4120" w:rsidRDefault="00F127CD" w:rsidP="009A4120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>Un</w:t>
    </w:r>
    <w:r w:rsidR="009A4120">
      <w:rPr>
        <w:rFonts w:ascii="Calibri" w:hAnsi="Calibri"/>
      </w:rPr>
      <w:t xml:space="preserve"> </w:t>
    </w:r>
    <w:r w:rsidRPr="00ED2292">
      <w:rPr>
        <w:rFonts w:ascii="Calibri" w:hAnsi="Calibri"/>
      </w:rPr>
      <w:t>desarrollo</w:t>
    </w:r>
    <w:r w:rsidR="009A4120">
      <w:rPr>
        <w:rFonts w:ascii="Calibri" w:hAnsi="Calibri"/>
      </w:rPr>
      <w:t xml:space="preserve"> </w:t>
    </w:r>
    <w:r w:rsidRPr="00ED2292">
      <w:rPr>
        <w:rFonts w:ascii="Calibri" w:hAnsi="Calibri"/>
      </w:rPr>
      <w:t>especializado</w:t>
    </w:r>
    <w:r w:rsidR="009A4120">
      <w:rPr>
        <w:rFonts w:ascii="Calibri" w:hAnsi="Calibri"/>
      </w:rPr>
      <w:t xml:space="preserve"> </w:t>
    </w:r>
    <w:r w:rsidRPr="00ED2292">
      <w:rPr>
        <w:rFonts w:ascii="Calibri" w:hAnsi="Calibri"/>
      </w:rPr>
      <w:t>de</w:t>
    </w:r>
    <w:r w:rsidR="009A4120">
      <w:rPr>
        <w:rFonts w:ascii="Calibri" w:hAnsi="Calibri"/>
      </w:rPr>
      <w:t xml:space="preserve">         </w:t>
    </w:r>
    <w:r>
      <w:rPr>
        <w:rFonts w:ascii="Calibri" w:hAnsi="Calibri"/>
        <w:noProof/>
        <w:lang w:eastAsia="es-PE"/>
      </w:rPr>
      <w:drawing>
        <wp:inline distT="0" distB="0" distL="0" distR="0" wp14:anchorId="2292A368" wp14:editId="736F41C3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065F4" w14:textId="77777777" w:rsidR="00F50A8C" w:rsidRDefault="00F50A8C" w:rsidP="00F127CD">
      <w:r>
        <w:separator/>
      </w:r>
    </w:p>
  </w:footnote>
  <w:footnote w:type="continuationSeparator" w:id="0">
    <w:p w14:paraId="5DFB115E" w14:textId="77777777" w:rsidR="00F50A8C" w:rsidRDefault="00F50A8C" w:rsidP="00F12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1DB96" w14:textId="6AC484CE" w:rsidR="00F127CD" w:rsidRDefault="00F127CD" w:rsidP="009A4120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0F63243A" wp14:editId="2E616DF8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CD"/>
    <w:rsid w:val="0002405D"/>
    <w:rsid w:val="000526BE"/>
    <w:rsid w:val="00096CEC"/>
    <w:rsid w:val="00133291"/>
    <w:rsid w:val="002017D0"/>
    <w:rsid w:val="00537232"/>
    <w:rsid w:val="00580259"/>
    <w:rsid w:val="00615327"/>
    <w:rsid w:val="007F0EA7"/>
    <w:rsid w:val="008066EB"/>
    <w:rsid w:val="008F2267"/>
    <w:rsid w:val="009A4120"/>
    <w:rsid w:val="00A512BE"/>
    <w:rsid w:val="00AA3083"/>
    <w:rsid w:val="00BB3261"/>
    <w:rsid w:val="00C32D53"/>
    <w:rsid w:val="00D361DE"/>
    <w:rsid w:val="00F127CD"/>
    <w:rsid w:val="00F22DD5"/>
    <w:rsid w:val="00F50A8C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1D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link w:val="Ttulo1Car"/>
    <w:uiPriority w:val="9"/>
    <w:qFormat/>
    <w:rsid w:val="00F127C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F127C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F127CD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F127CD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F127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">
    <w:name w:val="no-style-override"/>
    <w:basedOn w:val="Fuentedeprrafopredeter"/>
    <w:rsid w:val="00F127CD"/>
  </w:style>
  <w:style w:type="character" w:customStyle="1" w:styleId="no-style-override-1">
    <w:name w:val="no-style-override-1"/>
    <w:basedOn w:val="Fuentedeprrafopredeter"/>
    <w:rsid w:val="00F127CD"/>
  </w:style>
  <w:style w:type="paragraph" w:customStyle="1" w:styleId="x-ning-n-estilo-de-p-rrafo-">
    <w:name w:val="x-ning-n-estilo-de-p-rrafo-"/>
    <w:basedOn w:val="Normal"/>
    <w:rsid w:val="00F127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2">
    <w:name w:val="no-style-override-2"/>
    <w:basedOn w:val="Fuentedeprrafopredeter"/>
    <w:rsid w:val="00F127CD"/>
  </w:style>
  <w:style w:type="character" w:customStyle="1" w:styleId="no-style-override-3">
    <w:name w:val="no-style-override-3"/>
    <w:basedOn w:val="Fuentedeprrafopredeter"/>
    <w:rsid w:val="00F127CD"/>
  </w:style>
  <w:style w:type="paragraph" w:styleId="Encabezado">
    <w:name w:val="header"/>
    <w:basedOn w:val="Normal"/>
    <w:link w:val="EncabezadoCar"/>
    <w:uiPriority w:val="99"/>
    <w:unhideWhenUsed/>
    <w:rsid w:val="00F127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27CD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F127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7CD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41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12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A4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link w:val="Ttulo1Car"/>
    <w:uiPriority w:val="9"/>
    <w:qFormat/>
    <w:rsid w:val="00F127C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F127C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F127CD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F127CD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F127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">
    <w:name w:val="no-style-override"/>
    <w:basedOn w:val="Fuentedeprrafopredeter"/>
    <w:rsid w:val="00F127CD"/>
  </w:style>
  <w:style w:type="character" w:customStyle="1" w:styleId="no-style-override-1">
    <w:name w:val="no-style-override-1"/>
    <w:basedOn w:val="Fuentedeprrafopredeter"/>
    <w:rsid w:val="00F127CD"/>
  </w:style>
  <w:style w:type="paragraph" w:customStyle="1" w:styleId="x-ning-n-estilo-de-p-rrafo-">
    <w:name w:val="x-ning-n-estilo-de-p-rrafo-"/>
    <w:basedOn w:val="Normal"/>
    <w:rsid w:val="00F127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2">
    <w:name w:val="no-style-override-2"/>
    <w:basedOn w:val="Fuentedeprrafopredeter"/>
    <w:rsid w:val="00F127CD"/>
  </w:style>
  <w:style w:type="character" w:customStyle="1" w:styleId="no-style-override-3">
    <w:name w:val="no-style-override-3"/>
    <w:basedOn w:val="Fuentedeprrafopredeter"/>
    <w:rsid w:val="00F127CD"/>
  </w:style>
  <w:style w:type="paragraph" w:styleId="Encabezado">
    <w:name w:val="header"/>
    <w:basedOn w:val="Normal"/>
    <w:link w:val="EncabezadoCar"/>
    <w:uiPriority w:val="99"/>
    <w:unhideWhenUsed/>
    <w:rsid w:val="00F127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27CD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F127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7CD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41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12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A4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980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HP</cp:lastModifiedBy>
  <cp:revision>3</cp:revision>
  <dcterms:created xsi:type="dcterms:W3CDTF">2024-04-22T14:41:00Z</dcterms:created>
  <dcterms:modified xsi:type="dcterms:W3CDTF">2024-04-22T16:30:00Z</dcterms:modified>
</cp:coreProperties>
</file>