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bookmarkStart w:id="0" w:name="_GoBack"/>
      <w:bookmarkEnd w:id="0"/>
      <w:r w:rsidRPr="005F1362">
        <w:rPr>
          <w:rFonts w:ascii="Arial" w:hAnsi="Arial" w:cs="Times New Roman"/>
          <w:b/>
          <w:sz w:val="24"/>
          <w:szCs w:val="24"/>
        </w:rPr>
        <w:t xml:space="preserve">Decreto </w:t>
      </w:r>
      <w:r w:rsidRPr="005F1362">
        <w:rPr>
          <w:rFonts w:ascii="Arial" w:hAnsi="Arial" w:cs="Times New Roman"/>
          <w:b/>
          <w:sz w:val="24"/>
          <w:szCs w:val="24"/>
        </w:rPr>
        <w:t xml:space="preserve">supremo </w:t>
      </w:r>
      <w:r w:rsidRPr="005F1362">
        <w:rPr>
          <w:rFonts w:ascii="Arial" w:hAnsi="Arial" w:cs="Times New Roman"/>
          <w:b/>
          <w:sz w:val="24"/>
          <w:szCs w:val="24"/>
        </w:rPr>
        <w:t>que modifica el Reglamento de la Ley N.° 30225, Ley de Contrataciones del Estado, aprobado mediante Decreto Supremo N.° 344-2018-EF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r w:rsidRPr="005F1362">
        <w:rPr>
          <w:rFonts w:ascii="Arial" w:hAnsi="Arial" w:cs="Times New Roman"/>
          <w:b/>
          <w:sz w:val="24"/>
          <w:szCs w:val="24"/>
        </w:rPr>
        <w:t>Decreto Supremo N.° 051-2024-EF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La </w:t>
      </w:r>
      <w:r w:rsidRPr="005F1362">
        <w:rPr>
          <w:rFonts w:ascii="Arial" w:hAnsi="Arial" w:cs="Times New Roman"/>
          <w:sz w:val="24"/>
          <w:szCs w:val="24"/>
        </w:rPr>
        <w:t xml:space="preserve">presidenta </w:t>
      </w:r>
      <w:r w:rsidRPr="005F1362">
        <w:rPr>
          <w:rFonts w:ascii="Arial" w:hAnsi="Arial" w:cs="Times New Roman"/>
          <w:sz w:val="24"/>
          <w:szCs w:val="24"/>
        </w:rPr>
        <w:t>de la República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Considerando: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Que, el Decreto Legislativo N.° 1439, Decreto Legislativo del Sistema Nacional de Abastecimiento, desarrolla el Sistema Nacional de Abastecimiento con la finalidad de establecer sus principios, definiciones, composición, normas y procedimientos;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Que, asimismo, el numeral 11.1 del artículo 11 del ci</w:t>
      </w:r>
      <w:r w:rsidRPr="005F1362">
        <w:rPr>
          <w:rFonts w:ascii="Arial" w:hAnsi="Arial" w:cs="Times New Roman"/>
          <w:sz w:val="24"/>
          <w:szCs w:val="24"/>
        </w:rPr>
        <w:t>tado decreto legislativo dispone que el mencionado sistema comprende los s</w:t>
      </w:r>
      <w:r w:rsidRPr="005F1362">
        <w:rPr>
          <w:rFonts w:ascii="Arial" w:hAnsi="Arial" w:cs="Times New Roman"/>
          <w:sz w:val="24"/>
          <w:szCs w:val="24"/>
        </w:rPr>
        <w:t xml:space="preserve">iguientes componentes: (i) Programación </w:t>
      </w:r>
      <w:r w:rsidRPr="005F1362">
        <w:rPr>
          <w:rFonts w:ascii="Arial" w:hAnsi="Arial" w:cs="Times New Roman"/>
          <w:sz w:val="24"/>
          <w:szCs w:val="24"/>
        </w:rPr>
        <w:t>multianual de bienes, servicios y ob</w:t>
      </w:r>
      <w:r w:rsidRPr="005F1362">
        <w:rPr>
          <w:rFonts w:ascii="Arial" w:hAnsi="Arial" w:cs="Times New Roman"/>
          <w:sz w:val="24"/>
          <w:szCs w:val="24"/>
        </w:rPr>
        <w:t xml:space="preserve">ras; (ii) Gestión de </w:t>
      </w:r>
      <w:r w:rsidRPr="005F1362">
        <w:rPr>
          <w:rFonts w:ascii="Arial" w:hAnsi="Arial" w:cs="Times New Roman"/>
          <w:sz w:val="24"/>
          <w:szCs w:val="24"/>
        </w:rPr>
        <w:t>adquisiciones</w:t>
      </w:r>
      <w:r w:rsidRPr="005F1362">
        <w:rPr>
          <w:rFonts w:ascii="Arial" w:hAnsi="Arial" w:cs="Times New Roman"/>
          <w:sz w:val="24"/>
          <w:szCs w:val="24"/>
        </w:rPr>
        <w:t xml:space="preserve">; y, (iii) Administración de </w:t>
      </w:r>
      <w:r w:rsidRPr="005F1362">
        <w:rPr>
          <w:rFonts w:ascii="Arial" w:hAnsi="Arial" w:cs="Times New Roman"/>
          <w:sz w:val="24"/>
          <w:szCs w:val="24"/>
        </w:rPr>
        <w:t>bienes</w:t>
      </w:r>
      <w:r w:rsidRPr="005F1362">
        <w:rPr>
          <w:rFonts w:ascii="Arial" w:hAnsi="Arial" w:cs="Times New Roman"/>
          <w:sz w:val="24"/>
          <w:szCs w:val="24"/>
        </w:rPr>
        <w:t>;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Que, en relación con el componente de Gestión de Adquisiciones, la Ley N.° 30225, Ley de Contrataciones del Estado, establece normas orientadas a maximizar el valor de los recursos públicos que se invierten y a promover la actuación bajo el enfoque de gestión por resultados en las contrataciones de bienes, servicios y obras, de tal manera que estas se efectúen en forma oportuna y bajo las mejores condiciones de precio y calidad, permitan el cumplimiento de los fines públicos y tengan una repercusión positiva en las condiciones de vida de los ciudadanos;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Que, en el marco del perfeccionamiento continuo de las normas del Sistema Nacional de Abastecimiento, resulta necesario modificar el Reglamento de la Ley N.° 30225, Ley de Contrataciones del Estado, aprobado por Decreto Supremo N.° 344-2018-EF, con el propósito de establecer disposiciones que habiliten a las entidades a la ejecución de obras mediante el sistema de diseño y construcción;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De conformidad con lo dispuesto en el inciso 8 del artículo 118 de la Constitución Política del Perú; en el numeral 3 del artículo 11 de la Ley N.° 29158, Ley Orgánica del Poder Ejecutivo; en el Decreto Legislativo N.° 1439, Decreto Legislativo del Sistema Nacional de Abastecimiento; y, en la Ley N.° 30225, Ley de Contrataciones del Estado;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Decreta: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Artículo 1°.- </w:t>
      </w:r>
      <w:r w:rsidRPr="005F1362">
        <w:rPr>
          <w:rFonts w:ascii="Arial" w:hAnsi="Arial" w:cs="Times New Roman"/>
          <w:b/>
          <w:sz w:val="24"/>
          <w:szCs w:val="24"/>
        </w:rPr>
        <w:t>Objeto.</w:t>
      </w:r>
      <w:r w:rsidRPr="005F1362">
        <w:rPr>
          <w:rFonts w:ascii="Arial" w:hAnsi="Arial" w:cs="Times New Roman"/>
          <w:sz w:val="24"/>
          <w:szCs w:val="24"/>
        </w:rPr>
        <w:t xml:space="preserve"> El presente decreto supremo tiene por objeto modificar el Reglamento de la Ley N.° 30225, Ley de Contrataciones del Estado, aprobado mediante Decreto Supremo N.° 344-2018-EF.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Artículo 2°.- </w:t>
      </w:r>
      <w:r w:rsidRPr="005F1362">
        <w:rPr>
          <w:rFonts w:ascii="Arial" w:hAnsi="Arial" w:cs="Times New Roman"/>
          <w:b/>
          <w:sz w:val="24"/>
          <w:szCs w:val="24"/>
        </w:rPr>
        <w:t>Modificación de diversos artículos del Reglamento de la Ley N.° 30225, Ley de Contrataciones del Estado, aprobado mediante Decreto Supremo N.° 344-2018-EF</w:t>
      </w:r>
      <w:r>
        <w:rPr>
          <w:rFonts w:ascii="Arial" w:hAnsi="Arial" w:cs="Times New Roman"/>
          <w:b/>
          <w:sz w:val="24"/>
          <w:szCs w:val="24"/>
        </w:rPr>
        <w:t xml:space="preserve">. </w:t>
      </w:r>
      <w:r w:rsidRPr="005F1362">
        <w:rPr>
          <w:rFonts w:ascii="Arial" w:hAnsi="Arial" w:cs="Times New Roman"/>
          <w:sz w:val="24"/>
          <w:szCs w:val="24"/>
        </w:rPr>
        <w:t>Modificar el numeral 212.1 del artículo 212, el numeral 215.1 del artículo 215 y el numeral 243.4 del artículo 243 del Reglamento de la Ley N.° 30225, Ley de Contrataciones del Estado, aprobado mediante Decreto Supremo N.° 344-2018-EF, en los siguientes términos: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lastRenderedPageBreak/>
        <w:t>"</w:t>
      </w:r>
      <w:r w:rsidRPr="005F1362">
        <w:rPr>
          <w:rFonts w:ascii="Arial" w:hAnsi="Arial" w:cs="Times New Roman"/>
          <w:sz w:val="24"/>
          <w:szCs w:val="24"/>
        </w:rPr>
        <w:t>Artículo 212.</w:t>
      </w:r>
      <w:r>
        <w:rPr>
          <w:rFonts w:ascii="Arial" w:hAnsi="Arial" w:cs="Times New Roman"/>
          <w:sz w:val="24"/>
          <w:szCs w:val="24"/>
        </w:rPr>
        <w:t>-</w:t>
      </w:r>
      <w:r w:rsidRPr="005F1362">
        <w:rPr>
          <w:rFonts w:ascii="Arial" w:hAnsi="Arial" w:cs="Times New Roman"/>
          <w:sz w:val="24"/>
          <w:szCs w:val="24"/>
        </w:rPr>
        <w:t xml:space="preserve"> </w:t>
      </w:r>
      <w:r w:rsidRPr="005F1362">
        <w:rPr>
          <w:rFonts w:ascii="Arial" w:hAnsi="Arial" w:cs="Times New Roman"/>
          <w:b/>
          <w:sz w:val="24"/>
          <w:szCs w:val="24"/>
        </w:rPr>
        <w:t>Condiciones.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212.1. Las </w:t>
      </w:r>
      <w:r w:rsidRPr="005F1362">
        <w:rPr>
          <w:rFonts w:ascii="Arial" w:hAnsi="Arial" w:cs="Times New Roman"/>
          <w:sz w:val="24"/>
          <w:szCs w:val="24"/>
        </w:rPr>
        <w:t xml:space="preserve">entidades </w:t>
      </w:r>
      <w:r w:rsidRPr="005F1362">
        <w:rPr>
          <w:rFonts w:ascii="Arial" w:hAnsi="Arial" w:cs="Times New Roman"/>
          <w:sz w:val="24"/>
          <w:szCs w:val="24"/>
        </w:rPr>
        <w:t xml:space="preserve">pueden contratar obras que comprendan el diseño y construcción a través de las modalidades llave en mano que incluye el expediente técnico de obra, o concurso oferta, según corresponda, siempre que el presupuesto estimado del proyecto o valor referencial corresponda a una </w:t>
      </w:r>
      <w:r w:rsidRPr="005F1362">
        <w:rPr>
          <w:rFonts w:ascii="Arial" w:hAnsi="Arial" w:cs="Times New Roman"/>
          <w:sz w:val="24"/>
          <w:szCs w:val="24"/>
        </w:rPr>
        <w:t>licitación púb</w:t>
      </w:r>
      <w:r w:rsidRPr="005F1362">
        <w:rPr>
          <w:rFonts w:ascii="Arial" w:hAnsi="Arial" w:cs="Times New Roman"/>
          <w:sz w:val="24"/>
          <w:szCs w:val="24"/>
        </w:rPr>
        <w:t xml:space="preserve">lica. Las referidas modalidades también resultan aplicables a la contratación por paquete, cuyo presupuesto estimado de los proyectos o valor referencial de </w:t>
      </w:r>
      <w:r w:rsidRPr="005F1362">
        <w:rPr>
          <w:rFonts w:ascii="Arial" w:hAnsi="Arial" w:cs="Times New Roman"/>
          <w:sz w:val="24"/>
          <w:szCs w:val="24"/>
        </w:rPr>
        <w:t>forma conjunta corresponda a una licitación pública.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(</w:t>
      </w:r>
      <w:r>
        <w:rPr>
          <w:rFonts w:ascii="Arial" w:hAnsi="Arial" w:cs="Times New Roman"/>
          <w:sz w:val="24"/>
          <w:szCs w:val="24"/>
        </w:rPr>
        <w:t>...</w:t>
      </w:r>
      <w:r w:rsidRPr="005F1362">
        <w:rPr>
          <w:rFonts w:ascii="Arial" w:hAnsi="Arial" w:cs="Times New Roman"/>
          <w:sz w:val="24"/>
          <w:szCs w:val="24"/>
        </w:rPr>
        <w:t>)</w:t>
      </w:r>
      <w:r>
        <w:rPr>
          <w:rFonts w:ascii="Arial" w:hAnsi="Arial" w:cs="Times New Roman"/>
          <w:sz w:val="24"/>
          <w:szCs w:val="24"/>
        </w:rPr>
        <w:t>."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"</w:t>
      </w:r>
      <w:r w:rsidRPr="005F1362">
        <w:rPr>
          <w:rFonts w:ascii="Arial" w:hAnsi="Arial" w:cs="Times New Roman"/>
          <w:sz w:val="24"/>
          <w:szCs w:val="24"/>
        </w:rPr>
        <w:t>Artículo 215.</w:t>
      </w:r>
      <w:r>
        <w:rPr>
          <w:rFonts w:ascii="Arial" w:hAnsi="Arial" w:cs="Times New Roman"/>
          <w:sz w:val="24"/>
          <w:szCs w:val="24"/>
        </w:rPr>
        <w:t>-</w:t>
      </w:r>
      <w:r w:rsidRPr="005F1362">
        <w:rPr>
          <w:rFonts w:ascii="Arial" w:hAnsi="Arial" w:cs="Times New Roman"/>
          <w:sz w:val="24"/>
          <w:szCs w:val="24"/>
        </w:rPr>
        <w:t xml:space="preserve"> </w:t>
      </w:r>
      <w:r w:rsidRPr="005F1362">
        <w:rPr>
          <w:rFonts w:ascii="Arial" w:hAnsi="Arial" w:cs="Times New Roman"/>
          <w:b/>
          <w:sz w:val="24"/>
          <w:szCs w:val="24"/>
        </w:rPr>
        <w:t xml:space="preserve">Ejecución </w:t>
      </w:r>
      <w:r w:rsidRPr="005F1362">
        <w:rPr>
          <w:rFonts w:ascii="Arial" w:hAnsi="Arial" w:cs="Times New Roman"/>
          <w:b/>
          <w:sz w:val="24"/>
          <w:szCs w:val="24"/>
        </w:rPr>
        <w:t>contractual</w:t>
      </w:r>
      <w:r w:rsidRPr="005F1362">
        <w:rPr>
          <w:rFonts w:ascii="Arial" w:hAnsi="Arial" w:cs="Times New Roman"/>
          <w:b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215.1. Cuando resulte técnicamente viable y siempre que se cuente con la conformidad expresa del área usuaria, se puede realizar aprobaciones parciales del e</w:t>
      </w:r>
      <w:r w:rsidRPr="005F1362">
        <w:rPr>
          <w:rFonts w:ascii="Arial" w:hAnsi="Arial" w:cs="Times New Roman"/>
          <w:sz w:val="24"/>
          <w:szCs w:val="24"/>
        </w:rPr>
        <w:t xml:space="preserve">xpediente técnico de obra quedando facultada la entidad para </w:t>
      </w:r>
      <w:r w:rsidRPr="005F1362">
        <w:rPr>
          <w:rFonts w:ascii="Arial" w:hAnsi="Arial" w:cs="Times New Roman"/>
          <w:sz w:val="24"/>
          <w:szCs w:val="24"/>
        </w:rPr>
        <w:t>disponer la ejecución de los trabajos contemplados en los expedientes técnicos parciales, sin que para ello se requiera que cada parte a ejecutar tenga funcionalidad por sí misma.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(</w:t>
      </w:r>
      <w:r>
        <w:rPr>
          <w:rFonts w:ascii="Arial" w:hAnsi="Arial" w:cs="Times New Roman"/>
          <w:sz w:val="24"/>
          <w:szCs w:val="24"/>
        </w:rPr>
        <w:t>...</w:t>
      </w:r>
      <w:r w:rsidRPr="005F1362">
        <w:rPr>
          <w:rFonts w:ascii="Arial" w:hAnsi="Arial" w:cs="Times New Roman"/>
          <w:sz w:val="24"/>
          <w:szCs w:val="24"/>
        </w:rPr>
        <w:t>)</w:t>
      </w:r>
      <w:r>
        <w:rPr>
          <w:rFonts w:ascii="Arial" w:hAnsi="Arial" w:cs="Times New Roman"/>
          <w:sz w:val="24"/>
          <w:szCs w:val="24"/>
        </w:rPr>
        <w:t>."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"</w:t>
      </w:r>
      <w:r w:rsidRPr="005F1362">
        <w:rPr>
          <w:rFonts w:ascii="Arial" w:hAnsi="Arial" w:cs="Times New Roman"/>
          <w:sz w:val="24"/>
          <w:szCs w:val="24"/>
        </w:rPr>
        <w:t>Artículo 243.</w:t>
      </w:r>
      <w:r>
        <w:rPr>
          <w:rFonts w:ascii="Arial" w:hAnsi="Arial" w:cs="Times New Roman"/>
          <w:sz w:val="24"/>
          <w:szCs w:val="24"/>
        </w:rPr>
        <w:t>-</w:t>
      </w:r>
      <w:r w:rsidRPr="005F1362">
        <w:rPr>
          <w:rFonts w:ascii="Arial" w:hAnsi="Arial" w:cs="Times New Roman"/>
          <w:sz w:val="24"/>
          <w:szCs w:val="24"/>
        </w:rPr>
        <w:t xml:space="preserve"> </w:t>
      </w:r>
      <w:r w:rsidRPr="005F1362">
        <w:rPr>
          <w:rFonts w:ascii="Arial" w:hAnsi="Arial" w:cs="Times New Roman"/>
          <w:b/>
          <w:sz w:val="24"/>
          <w:szCs w:val="24"/>
        </w:rPr>
        <w:t xml:space="preserve">La </w:t>
      </w:r>
      <w:r w:rsidRPr="005F1362">
        <w:rPr>
          <w:rFonts w:ascii="Arial" w:hAnsi="Arial" w:cs="Times New Roman"/>
          <w:b/>
          <w:sz w:val="24"/>
          <w:szCs w:val="24"/>
        </w:rPr>
        <w:t>junta de resolución de disputas</w:t>
      </w:r>
      <w:r>
        <w:rPr>
          <w:rFonts w:ascii="Arial" w:hAnsi="Arial" w:cs="Times New Roman"/>
          <w:b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(...)</w:t>
      </w:r>
      <w:r>
        <w:rPr>
          <w:rFonts w:ascii="Arial" w:hAnsi="Arial" w:cs="Times New Roman"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243.4. En los contratos de obra, que no comprendan diseño y construcción, cuyos montos sean inferiores o iguales a veinte millones con 00/100 </w:t>
      </w:r>
      <w:r w:rsidRPr="005F1362">
        <w:rPr>
          <w:rFonts w:ascii="Arial" w:hAnsi="Arial" w:cs="Times New Roman"/>
          <w:sz w:val="24"/>
          <w:szCs w:val="24"/>
        </w:rPr>
        <w:t xml:space="preserve">soles </w:t>
      </w:r>
      <w:r w:rsidRPr="005F1362">
        <w:rPr>
          <w:rFonts w:ascii="Arial" w:hAnsi="Arial" w:cs="Times New Roman"/>
          <w:sz w:val="24"/>
          <w:szCs w:val="24"/>
        </w:rPr>
        <w:t xml:space="preserve">(S/ 20 000 000,00), las partes pueden acordar incorporar a la cláusula de solución de controversias del contrato que las soluciones de estas estén a cargo de una </w:t>
      </w:r>
      <w:r w:rsidRPr="005F1362">
        <w:rPr>
          <w:rFonts w:ascii="Arial" w:hAnsi="Arial" w:cs="Times New Roman"/>
          <w:sz w:val="24"/>
          <w:szCs w:val="24"/>
        </w:rPr>
        <w:t xml:space="preserve">junta de resolución de disputas, siendo esta incorporación obligatoria para </w:t>
      </w:r>
      <w:r w:rsidRPr="005F1362">
        <w:rPr>
          <w:rFonts w:ascii="Arial" w:hAnsi="Arial" w:cs="Times New Roman"/>
          <w:sz w:val="24"/>
          <w:szCs w:val="24"/>
        </w:rPr>
        <w:t>contratos cuyos montos sean superiores. Las decisiones emitidas por l</w:t>
      </w:r>
      <w:r w:rsidRPr="005F1362">
        <w:rPr>
          <w:rFonts w:ascii="Arial" w:hAnsi="Arial" w:cs="Times New Roman"/>
          <w:sz w:val="24"/>
          <w:szCs w:val="24"/>
        </w:rPr>
        <w:t>a junta de resolución de disputas son vinculantes para las partes.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(</w:t>
      </w:r>
      <w:r>
        <w:rPr>
          <w:rFonts w:ascii="Arial" w:hAnsi="Arial" w:cs="Times New Roman"/>
          <w:sz w:val="24"/>
          <w:szCs w:val="24"/>
        </w:rPr>
        <w:t>...</w:t>
      </w:r>
      <w:r w:rsidRPr="005F1362">
        <w:rPr>
          <w:rFonts w:ascii="Arial" w:hAnsi="Arial" w:cs="Times New Roman"/>
          <w:sz w:val="24"/>
          <w:szCs w:val="24"/>
        </w:rPr>
        <w:t>)</w:t>
      </w:r>
      <w:r>
        <w:rPr>
          <w:rFonts w:ascii="Arial" w:hAnsi="Arial" w:cs="Times New Roman"/>
          <w:sz w:val="24"/>
          <w:szCs w:val="24"/>
        </w:rPr>
        <w:t>."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Artículo 3°.- </w:t>
      </w:r>
      <w:r w:rsidRPr="005F1362">
        <w:rPr>
          <w:rFonts w:ascii="Arial" w:hAnsi="Arial" w:cs="Times New Roman"/>
          <w:b/>
          <w:sz w:val="24"/>
          <w:szCs w:val="24"/>
        </w:rPr>
        <w:t>Incorporación de numerales en los artículos 215 y 243 del Reglamento de la Ley N.° 30225, Ley de Contrataciones del Estado, aprobado mediante Decreto supremo N.° 344-2018-EF</w:t>
      </w:r>
      <w:r w:rsidR="00256E4A">
        <w:rPr>
          <w:rFonts w:ascii="Arial" w:hAnsi="Arial" w:cs="Times New Roman"/>
          <w:b/>
          <w:sz w:val="24"/>
          <w:szCs w:val="24"/>
        </w:rPr>
        <w:t xml:space="preserve">. </w:t>
      </w:r>
      <w:r w:rsidRPr="005F1362">
        <w:rPr>
          <w:rFonts w:ascii="Arial" w:hAnsi="Arial" w:cs="Times New Roman"/>
          <w:sz w:val="24"/>
          <w:szCs w:val="24"/>
        </w:rPr>
        <w:t>Incorporar el numeral 215.3 al artículo 215 y el numeral 243.6 al artículo 243 del Reglamento de la Ley N.° 30225, Ley de Contrataciones del Estado, aprobado mediante Decreto Supremo N.° 344-2018-EF, en los siguientes términos:</w:t>
      </w:r>
    </w:p>
    <w:p w:rsidR="005F1362" w:rsidRPr="00256E4A" w:rsidRDefault="00256E4A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"</w:t>
      </w:r>
      <w:r w:rsidR="005F1362" w:rsidRPr="005F1362">
        <w:rPr>
          <w:rFonts w:ascii="Arial" w:hAnsi="Arial" w:cs="Times New Roman"/>
          <w:sz w:val="24"/>
          <w:szCs w:val="24"/>
        </w:rPr>
        <w:t>Artículo 215.</w:t>
      </w:r>
      <w:r>
        <w:rPr>
          <w:rFonts w:ascii="Arial" w:hAnsi="Arial" w:cs="Times New Roman"/>
          <w:sz w:val="24"/>
          <w:szCs w:val="24"/>
        </w:rPr>
        <w:t>-</w:t>
      </w:r>
      <w:r w:rsidR="005F1362" w:rsidRPr="005F1362">
        <w:rPr>
          <w:rFonts w:ascii="Arial" w:hAnsi="Arial" w:cs="Times New Roman"/>
          <w:sz w:val="24"/>
          <w:szCs w:val="24"/>
        </w:rPr>
        <w:t xml:space="preserve"> </w:t>
      </w:r>
      <w:r w:rsidR="005F1362" w:rsidRPr="00256E4A">
        <w:rPr>
          <w:rFonts w:ascii="Arial" w:hAnsi="Arial" w:cs="Times New Roman"/>
          <w:b/>
          <w:sz w:val="24"/>
          <w:szCs w:val="24"/>
        </w:rPr>
        <w:t xml:space="preserve">Ejecución </w:t>
      </w:r>
      <w:r w:rsidRPr="00256E4A">
        <w:rPr>
          <w:rFonts w:ascii="Arial" w:hAnsi="Arial" w:cs="Times New Roman"/>
          <w:b/>
          <w:sz w:val="24"/>
          <w:szCs w:val="24"/>
        </w:rPr>
        <w:t>contractual</w:t>
      </w:r>
      <w:r>
        <w:rPr>
          <w:rFonts w:ascii="Arial" w:hAnsi="Arial" w:cs="Times New Roman"/>
          <w:b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(</w:t>
      </w:r>
      <w:r w:rsidR="00256E4A">
        <w:rPr>
          <w:rFonts w:ascii="Arial" w:hAnsi="Arial" w:cs="Times New Roman"/>
          <w:sz w:val="24"/>
          <w:szCs w:val="24"/>
        </w:rPr>
        <w:t>...</w:t>
      </w:r>
      <w:r w:rsidRPr="005F1362">
        <w:rPr>
          <w:rFonts w:ascii="Arial" w:hAnsi="Arial" w:cs="Times New Roman"/>
          <w:sz w:val="24"/>
          <w:szCs w:val="24"/>
        </w:rPr>
        <w:t>)</w:t>
      </w:r>
      <w:r w:rsidR="00256E4A">
        <w:rPr>
          <w:rFonts w:ascii="Arial" w:hAnsi="Arial" w:cs="Times New Roman"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215.3 Lo dispuesto en el numeral 215.1 resulta aplicab</w:t>
      </w:r>
      <w:r w:rsidR="00632A5A" w:rsidRPr="005F1362">
        <w:rPr>
          <w:rFonts w:ascii="Arial" w:hAnsi="Arial" w:cs="Times New Roman"/>
          <w:sz w:val="24"/>
          <w:szCs w:val="24"/>
        </w:rPr>
        <w:t xml:space="preserve">le para las entidades del </w:t>
      </w:r>
      <w:r w:rsidRPr="005F1362">
        <w:rPr>
          <w:rFonts w:ascii="Arial" w:hAnsi="Arial" w:cs="Times New Roman"/>
          <w:sz w:val="24"/>
          <w:szCs w:val="24"/>
        </w:rPr>
        <w:t xml:space="preserve">Gobierno </w:t>
      </w:r>
      <w:r w:rsidR="00632A5A" w:rsidRPr="005F1362">
        <w:rPr>
          <w:rFonts w:ascii="Arial" w:hAnsi="Arial" w:cs="Times New Roman"/>
          <w:sz w:val="24"/>
          <w:szCs w:val="24"/>
        </w:rPr>
        <w:t xml:space="preserve">nacional </w:t>
      </w:r>
      <w:r w:rsidRPr="005F1362">
        <w:rPr>
          <w:rFonts w:ascii="Arial" w:hAnsi="Arial" w:cs="Times New Roman"/>
          <w:sz w:val="24"/>
          <w:szCs w:val="24"/>
        </w:rPr>
        <w:t>y</w:t>
      </w:r>
      <w:r w:rsidR="00632A5A" w:rsidRPr="005F1362">
        <w:rPr>
          <w:rFonts w:ascii="Arial" w:hAnsi="Arial" w:cs="Times New Roman"/>
          <w:sz w:val="24"/>
          <w:szCs w:val="24"/>
        </w:rPr>
        <w:t xml:space="preserve"> los gobiernos regionales siempre que hayan alcanzado </w:t>
      </w:r>
      <w:r w:rsidRPr="005F1362">
        <w:rPr>
          <w:rFonts w:ascii="Arial" w:hAnsi="Arial" w:cs="Times New Roman"/>
          <w:sz w:val="24"/>
          <w:szCs w:val="24"/>
        </w:rPr>
        <w:t>un porcentaje de ejecución financiera de inversiones mayor o igual al setenta por ciento (70%) en los dos (02) años fiscales anteriores a la convocatoria del respectivo procedimiento de selección.</w:t>
      </w:r>
      <w:r w:rsidR="00632A5A">
        <w:rPr>
          <w:rFonts w:ascii="Arial" w:hAnsi="Arial" w:cs="Times New Roman"/>
          <w:sz w:val="24"/>
          <w:szCs w:val="24"/>
        </w:rPr>
        <w:t>"</w:t>
      </w:r>
    </w:p>
    <w:p w:rsidR="005F1362" w:rsidRPr="00632A5A" w:rsidRDefault="00632A5A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"</w:t>
      </w:r>
      <w:r w:rsidR="005F1362" w:rsidRPr="005F1362">
        <w:rPr>
          <w:rFonts w:ascii="Arial" w:hAnsi="Arial" w:cs="Times New Roman"/>
          <w:sz w:val="24"/>
          <w:szCs w:val="24"/>
        </w:rPr>
        <w:t>Artículo 243.</w:t>
      </w:r>
      <w:r>
        <w:rPr>
          <w:rFonts w:ascii="Arial" w:hAnsi="Arial" w:cs="Times New Roman"/>
          <w:sz w:val="24"/>
          <w:szCs w:val="24"/>
        </w:rPr>
        <w:t>-</w:t>
      </w:r>
      <w:r w:rsidR="005F1362" w:rsidRPr="005F1362">
        <w:rPr>
          <w:rFonts w:ascii="Arial" w:hAnsi="Arial" w:cs="Times New Roman"/>
          <w:sz w:val="24"/>
          <w:szCs w:val="24"/>
        </w:rPr>
        <w:t xml:space="preserve"> </w:t>
      </w:r>
      <w:r w:rsidR="005F1362" w:rsidRPr="00632A5A">
        <w:rPr>
          <w:rFonts w:ascii="Arial" w:hAnsi="Arial" w:cs="Times New Roman"/>
          <w:b/>
          <w:sz w:val="24"/>
          <w:szCs w:val="24"/>
        </w:rPr>
        <w:t xml:space="preserve">La </w:t>
      </w:r>
      <w:r w:rsidRPr="00632A5A">
        <w:rPr>
          <w:rFonts w:ascii="Arial" w:hAnsi="Arial" w:cs="Times New Roman"/>
          <w:b/>
          <w:sz w:val="24"/>
          <w:szCs w:val="24"/>
        </w:rPr>
        <w:t>junta de resolución de disputas</w:t>
      </w:r>
      <w:r>
        <w:rPr>
          <w:rFonts w:ascii="Arial" w:hAnsi="Arial" w:cs="Times New Roman"/>
          <w:b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(</w:t>
      </w:r>
      <w:r w:rsidR="00632A5A">
        <w:rPr>
          <w:rFonts w:ascii="Arial" w:hAnsi="Arial" w:cs="Times New Roman"/>
          <w:sz w:val="24"/>
          <w:szCs w:val="24"/>
        </w:rPr>
        <w:t>...</w:t>
      </w:r>
      <w:r w:rsidRPr="005F1362">
        <w:rPr>
          <w:rFonts w:ascii="Arial" w:hAnsi="Arial" w:cs="Times New Roman"/>
          <w:sz w:val="24"/>
          <w:szCs w:val="24"/>
        </w:rPr>
        <w:t>)</w:t>
      </w:r>
      <w:r w:rsidR="00632A5A">
        <w:rPr>
          <w:rFonts w:ascii="Arial" w:hAnsi="Arial" w:cs="Times New Roman"/>
          <w:sz w:val="24"/>
          <w:szCs w:val="24"/>
        </w:rPr>
        <w:t>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lastRenderedPageBreak/>
        <w:t xml:space="preserve">243.6. En los contratos de obra que comprendan diseño y construcción, las partes incorporan, obligatoriamente, en la cláusula de solución de controversias del contrato </w:t>
      </w:r>
      <w:r w:rsidR="00632A5A" w:rsidRPr="005F1362">
        <w:rPr>
          <w:rFonts w:ascii="Arial" w:hAnsi="Arial" w:cs="Times New Roman"/>
          <w:sz w:val="24"/>
          <w:szCs w:val="24"/>
        </w:rPr>
        <w:t>que las soluciones de estas estén a cargo de una junta de resolución de dispu</w:t>
      </w:r>
      <w:r w:rsidRPr="005F1362">
        <w:rPr>
          <w:rFonts w:ascii="Arial" w:hAnsi="Arial" w:cs="Times New Roman"/>
          <w:sz w:val="24"/>
          <w:szCs w:val="24"/>
        </w:rPr>
        <w:t>tas. En estos contrat</w:t>
      </w:r>
      <w:r w:rsidR="00632A5A" w:rsidRPr="005F1362">
        <w:rPr>
          <w:rFonts w:ascii="Arial" w:hAnsi="Arial" w:cs="Times New Roman"/>
          <w:sz w:val="24"/>
          <w:szCs w:val="24"/>
        </w:rPr>
        <w:t>os, la junta de resolución de disputas ejerce sus funciones durante la ejec</w:t>
      </w:r>
      <w:r w:rsidRPr="005F1362">
        <w:rPr>
          <w:rFonts w:ascii="Arial" w:hAnsi="Arial" w:cs="Times New Roman"/>
          <w:sz w:val="24"/>
          <w:szCs w:val="24"/>
        </w:rPr>
        <w:t>ución contractual, que inicia con la elabor</w:t>
      </w:r>
      <w:r w:rsidR="00632A5A" w:rsidRPr="005F1362">
        <w:rPr>
          <w:rFonts w:ascii="Arial" w:hAnsi="Arial" w:cs="Times New Roman"/>
          <w:sz w:val="24"/>
          <w:szCs w:val="24"/>
        </w:rPr>
        <w:t>ación del expediente técnico.</w:t>
      </w:r>
      <w:r w:rsidR="00632A5A">
        <w:rPr>
          <w:rFonts w:ascii="Arial" w:hAnsi="Arial" w:cs="Times New Roman"/>
          <w:sz w:val="24"/>
          <w:szCs w:val="24"/>
        </w:rPr>
        <w:t>"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Artículo 4°.- </w:t>
      </w:r>
      <w:r w:rsidRPr="00632A5A">
        <w:rPr>
          <w:rFonts w:ascii="Arial" w:hAnsi="Arial" w:cs="Times New Roman"/>
          <w:b/>
          <w:sz w:val="24"/>
          <w:szCs w:val="24"/>
        </w:rPr>
        <w:t>Publicación.</w:t>
      </w:r>
      <w:r w:rsidRPr="005F1362">
        <w:rPr>
          <w:rFonts w:ascii="Arial" w:hAnsi="Arial" w:cs="Times New Roman"/>
          <w:sz w:val="24"/>
          <w:szCs w:val="24"/>
        </w:rPr>
        <w:t xml:space="preserve"> Disponer la publicación del presente decreto supremo en la sede digital del Ministerio de Economía y Finanzas (www.gob.pe/mef), en la misma fecha de su publicación en el Diario Oficial El Peruano.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Artículo 5°.- </w:t>
      </w:r>
      <w:r w:rsidRPr="00632A5A">
        <w:rPr>
          <w:rFonts w:ascii="Arial" w:hAnsi="Arial" w:cs="Times New Roman"/>
          <w:b/>
          <w:sz w:val="24"/>
          <w:szCs w:val="24"/>
        </w:rPr>
        <w:t>Vigencia.</w:t>
      </w:r>
      <w:r w:rsidRPr="005F1362">
        <w:rPr>
          <w:rFonts w:ascii="Arial" w:hAnsi="Arial" w:cs="Times New Roman"/>
          <w:sz w:val="24"/>
          <w:szCs w:val="24"/>
        </w:rPr>
        <w:t xml:space="preserve"> Las disposiciones contenidas en el presente decreto supremo entran en vigencia al día siguiente de su publicación en el Diario Oficial El Peruano.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 xml:space="preserve">Artículo 6°.- </w:t>
      </w:r>
      <w:r w:rsidRPr="00632A5A">
        <w:rPr>
          <w:rFonts w:ascii="Arial" w:hAnsi="Arial" w:cs="Times New Roman"/>
          <w:b/>
          <w:sz w:val="24"/>
          <w:szCs w:val="24"/>
        </w:rPr>
        <w:t>Refrendo.</w:t>
      </w:r>
      <w:r w:rsidRPr="005F1362">
        <w:rPr>
          <w:rFonts w:ascii="Arial" w:hAnsi="Arial" w:cs="Times New Roman"/>
          <w:sz w:val="24"/>
          <w:szCs w:val="24"/>
        </w:rPr>
        <w:t xml:space="preserve"> El presente decreto supremo es refrendado por el </w:t>
      </w:r>
      <w:r w:rsidR="00632A5A" w:rsidRPr="005F1362">
        <w:rPr>
          <w:rFonts w:ascii="Arial" w:hAnsi="Arial" w:cs="Times New Roman"/>
          <w:sz w:val="24"/>
          <w:szCs w:val="24"/>
        </w:rPr>
        <w:t xml:space="preserve">ministro </w:t>
      </w:r>
      <w:r w:rsidRPr="005F1362">
        <w:rPr>
          <w:rFonts w:ascii="Arial" w:hAnsi="Arial" w:cs="Times New Roman"/>
          <w:sz w:val="24"/>
          <w:szCs w:val="24"/>
        </w:rPr>
        <w:t>de Economía y Finanzas.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Dado en la Casa de Gobierno, en Lima, a los doce días del mes de abril del año dos mil veinticuatro.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Dina Ercilia Boluarte Zegarra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Presidenta de la República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José Berley Arista Arbildo</w:t>
      </w:r>
    </w:p>
    <w:p w:rsidR="005F1362" w:rsidRPr="005F1362" w:rsidRDefault="005F1362" w:rsidP="005F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5F1362">
        <w:rPr>
          <w:rFonts w:ascii="Arial" w:hAnsi="Arial" w:cs="Times New Roman"/>
          <w:sz w:val="24"/>
          <w:szCs w:val="24"/>
        </w:rPr>
        <w:t>Ministro de Economía y Finanzas</w:t>
      </w:r>
    </w:p>
    <w:p w:rsidR="00EE65BF" w:rsidRPr="00EE65BF" w:rsidRDefault="00EE65BF" w:rsidP="00EE65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sz w:val="20"/>
          <w:szCs w:val="20"/>
        </w:rPr>
      </w:pPr>
      <w:r w:rsidRPr="00EE65BF">
        <w:rPr>
          <w:rFonts w:ascii="Arial" w:hAnsi="Arial" w:cs="Times New Roman"/>
          <w:sz w:val="20"/>
          <w:szCs w:val="20"/>
        </w:rPr>
        <w:t xml:space="preserve">Documento publicado en el Diario Oficial "El Peruano" el </w:t>
      </w:r>
      <w:r w:rsidR="000F30DA">
        <w:rPr>
          <w:rFonts w:ascii="Arial" w:hAnsi="Arial" w:cs="Times New Roman"/>
          <w:sz w:val="20"/>
          <w:szCs w:val="20"/>
        </w:rPr>
        <w:t>1</w:t>
      </w:r>
      <w:r w:rsidR="005F1362">
        <w:rPr>
          <w:rFonts w:ascii="Arial" w:hAnsi="Arial" w:cs="Times New Roman"/>
          <w:sz w:val="20"/>
          <w:szCs w:val="20"/>
        </w:rPr>
        <w:t>3</w:t>
      </w:r>
      <w:r w:rsidRPr="00EE65BF">
        <w:rPr>
          <w:rFonts w:ascii="Arial" w:hAnsi="Arial" w:cs="Times New Roman"/>
          <w:sz w:val="20"/>
          <w:szCs w:val="20"/>
        </w:rPr>
        <w:t xml:space="preserve"> de abril del 2024.</w:t>
      </w:r>
    </w:p>
    <w:sectPr w:rsidR="00EE65BF" w:rsidRPr="00EE65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77" w:rsidRDefault="00B95D77" w:rsidP="005D1D53">
      <w:pPr>
        <w:spacing w:before="0"/>
      </w:pPr>
      <w:r>
        <w:separator/>
      </w:r>
    </w:p>
  </w:endnote>
  <w:endnote w:type="continuationSeparator" w:id="0">
    <w:p w:rsidR="00B95D77" w:rsidRDefault="00B95D77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1630CBB8" wp14:editId="69040E3C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77" w:rsidRDefault="00B95D77" w:rsidP="005D1D53">
      <w:pPr>
        <w:spacing w:before="0"/>
      </w:pPr>
      <w:r>
        <w:separator/>
      </w:r>
    </w:p>
  </w:footnote>
  <w:footnote w:type="continuationSeparator" w:id="0">
    <w:p w:rsidR="00B95D77" w:rsidRDefault="00B95D77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6FC15F3C" wp14:editId="686F7037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22533"/>
    <w:rsid w:val="00036FAA"/>
    <w:rsid w:val="000B6E70"/>
    <w:rsid w:val="000F30DA"/>
    <w:rsid w:val="000F5E6D"/>
    <w:rsid w:val="00112725"/>
    <w:rsid w:val="00121C0E"/>
    <w:rsid w:val="0014186B"/>
    <w:rsid w:val="00187E75"/>
    <w:rsid w:val="00191F7F"/>
    <w:rsid w:val="001A10CA"/>
    <w:rsid w:val="001B6CC4"/>
    <w:rsid w:val="001C1638"/>
    <w:rsid w:val="001D74B5"/>
    <w:rsid w:val="00206370"/>
    <w:rsid w:val="00207B9C"/>
    <w:rsid w:val="00256E4A"/>
    <w:rsid w:val="00271798"/>
    <w:rsid w:val="00283E8C"/>
    <w:rsid w:val="002A7CE3"/>
    <w:rsid w:val="002C2A55"/>
    <w:rsid w:val="002D5370"/>
    <w:rsid w:val="002E4F75"/>
    <w:rsid w:val="00322DCB"/>
    <w:rsid w:val="00391532"/>
    <w:rsid w:val="003A0554"/>
    <w:rsid w:val="003B03B5"/>
    <w:rsid w:val="003D46A2"/>
    <w:rsid w:val="0041609A"/>
    <w:rsid w:val="0044297A"/>
    <w:rsid w:val="00530652"/>
    <w:rsid w:val="00531925"/>
    <w:rsid w:val="005457FB"/>
    <w:rsid w:val="005B075A"/>
    <w:rsid w:val="005D1D53"/>
    <w:rsid w:val="005F1362"/>
    <w:rsid w:val="0060307F"/>
    <w:rsid w:val="00611F8A"/>
    <w:rsid w:val="006160C3"/>
    <w:rsid w:val="00621BD6"/>
    <w:rsid w:val="00627D7E"/>
    <w:rsid w:val="00632A5A"/>
    <w:rsid w:val="006361EB"/>
    <w:rsid w:val="0066116E"/>
    <w:rsid w:val="006C114B"/>
    <w:rsid w:val="006D6533"/>
    <w:rsid w:val="006E102F"/>
    <w:rsid w:val="006E677D"/>
    <w:rsid w:val="00714180"/>
    <w:rsid w:val="00727CB2"/>
    <w:rsid w:val="007703CC"/>
    <w:rsid w:val="00780622"/>
    <w:rsid w:val="00791E7A"/>
    <w:rsid w:val="007A4B52"/>
    <w:rsid w:val="007C19D0"/>
    <w:rsid w:val="007C56D5"/>
    <w:rsid w:val="007E748D"/>
    <w:rsid w:val="00826E2D"/>
    <w:rsid w:val="00830DF5"/>
    <w:rsid w:val="00851100"/>
    <w:rsid w:val="00870A8A"/>
    <w:rsid w:val="00894392"/>
    <w:rsid w:val="008B219C"/>
    <w:rsid w:val="008C6BAE"/>
    <w:rsid w:val="008F712E"/>
    <w:rsid w:val="0090396B"/>
    <w:rsid w:val="00935EA7"/>
    <w:rsid w:val="00936ACD"/>
    <w:rsid w:val="009D3AF9"/>
    <w:rsid w:val="009F3572"/>
    <w:rsid w:val="00A308F8"/>
    <w:rsid w:val="00B45333"/>
    <w:rsid w:val="00B8498A"/>
    <w:rsid w:val="00B95D77"/>
    <w:rsid w:val="00B973FB"/>
    <w:rsid w:val="00BA759E"/>
    <w:rsid w:val="00BD67C5"/>
    <w:rsid w:val="00BF50BC"/>
    <w:rsid w:val="00C04DDA"/>
    <w:rsid w:val="00C35AA6"/>
    <w:rsid w:val="00CA15E0"/>
    <w:rsid w:val="00CB3469"/>
    <w:rsid w:val="00CE479E"/>
    <w:rsid w:val="00CF4958"/>
    <w:rsid w:val="00D336A9"/>
    <w:rsid w:val="00D95298"/>
    <w:rsid w:val="00DB1FE1"/>
    <w:rsid w:val="00DD3B6C"/>
    <w:rsid w:val="00DD63EC"/>
    <w:rsid w:val="00DE2009"/>
    <w:rsid w:val="00E07891"/>
    <w:rsid w:val="00E278EA"/>
    <w:rsid w:val="00E830CB"/>
    <w:rsid w:val="00E97C89"/>
    <w:rsid w:val="00EA3BF1"/>
    <w:rsid w:val="00EB08FD"/>
    <w:rsid w:val="00EB4F0A"/>
    <w:rsid w:val="00EE65BF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Carolina Herrera Pecart</cp:lastModifiedBy>
  <cp:revision>48</cp:revision>
  <dcterms:created xsi:type="dcterms:W3CDTF">2024-03-14T19:30:00Z</dcterms:created>
  <dcterms:modified xsi:type="dcterms:W3CDTF">2024-04-15T16:01:00Z</dcterms:modified>
</cp:coreProperties>
</file>