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B9C" w:rsidRPr="00621BD6" w:rsidRDefault="00894392" w:rsidP="008943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sz w:val="24"/>
          <w:szCs w:val="32"/>
        </w:rPr>
      </w:pPr>
      <w:r w:rsidRPr="00621BD6">
        <w:rPr>
          <w:rFonts w:ascii="Arial" w:hAnsi="Arial" w:cs="Arial"/>
          <w:b/>
          <w:bCs/>
          <w:sz w:val="24"/>
          <w:szCs w:val="32"/>
        </w:rPr>
        <w:t>Tribunal Registral</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Apelante</w:t>
      </w:r>
      <w:r w:rsidR="00621BD6">
        <w:rPr>
          <w:rFonts w:ascii="Arial" w:hAnsi="Arial" w:cs="Arial"/>
          <w:b/>
          <w:bCs/>
          <w:sz w:val="24"/>
          <w:szCs w:val="24"/>
        </w:rPr>
        <w:t xml:space="preserve">: </w:t>
      </w:r>
      <w:r w:rsidRPr="00621BD6">
        <w:rPr>
          <w:rFonts w:ascii="Arial" w:hAnsi="Arial" w:cs="Arial"/>
          <w:b/>
          <w:bCs/>
          <w:sz w:val="24"/>
          <w:szCs w:val="24"/>
        </w:rPr>
        <w:t>Abel Cabrera Sánchez</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Título</w:t>
      </w:r>
      <w:r w:rsidR="00621BD6">
        <w:rPr>
          <w:rFonts w:ascii="Arial" w:hAnsi="Arial" w:cs="Arial"/>
          <w:b/>
          <w:bCs/>
          <w:sz w:val="24"/>
          <w:szCs w:val="24"/>
        </w:rPr>
        <w:t xml:space="preserve">: </w:t>
      </w:r>
      <w:r w:rsidR="00207B9C" w:rsidRPr="00621BD6">
        <w:rPr>
          <w:rFonts w:ascii="Arial" w:hAnsi="Arial" w:cs="Arial"/>
          <w:b/>
          <w:bCs/>
          <w:sz w:val="24"/>
          <w:szCs w:val="24"/>
        </w:rPr>
        <w:t xml:space="preserve">N.° 3212120 </w:t>
      </w:r>
      <w:r w:rsidRPr="00621BD6">
        <w:rPr>
          <w:rFonts w:ascii="Arial" w:hAnsi="Arial" w:cs="Arial"/>
          <w:b/>
          <w:bCs/>
          <w:sz w:val="24"/>
          <w:szCs w:val="24"/>
        </w:rPr>
        <w:t xml:space="preserve">del </w:t>
      </w:r>
      <w:r w:rsidR="00207B9C" w:rsidRPr="00621BD6">
        <w:rPr>
          <w:rFonts w:ascii="Arial" w:hAnsi="Arial" w:cs="Arial"/>
          <w:b/>
          <w:bCs/>
          <w:sz w:val="24"/>
          <w:szCs w:val="24"/>
        </w:rPr>
        <w:t>03.11.2023</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Recurso</w:t>
      </w:r>
      <w:r w:rsidR="00621BD6">
        <w:rPr>
          <w:rFonts w:ascii="Arial" w:hAnsi="Arial" w:cs="Arial"/>
          <w:b/>
          <w:bCs/>
          <w:sz w:val="24"/>
          <w:szCs w:val="24"/>
        </w:rPr>
        <w:t xml:space="preserve">: </w:t>
      </w:r>
      <w:r w:rsidR="00207B9C" w:rsidRPr="00621BD6">
        <w:rPr>
          <w:rFonts w:ascii="Arial" w:hAnsi="Arial" w:cs="Arial"/>
          <w:b/>
          <w:bCs/>
          <w:sz w:val="24"/>
          <w:szCs w:val="24"/>
        </w:rPr>
        <w:t xml:space="preserve">N.° A0856817 </w:t>
      </w:r>
      <w:r w:rsidRPr="00621BD6">
        <w:rPr>
          <w:rFonts w:ascii="Arial" w:hAnsi="Arial" w:cs="Arial"/>
          <w:b/>
          <w:bCs/>
          <w:sz w:val="24"/>
          <w:szCs w:val="24"/>
        </w:rPr>
        <w:t xml:space="preserve">del </w:t>
      </w:r>
      <w:r w:rsidR="00207B9C" w:rsidRPr="00621BD6">
        <w:rPr>
          <w:rFonts w:ascii="Arial" w:hAnsi="Arial" w:cs="Arial"/>
          <w:b/>
          <w:bCs/>
          <w:sz w:val="24"/>
          <w:szCs w:val="24"/>
        </w:rPr>
        <w:t>21.12.2023</w:t>
      </w:r>
    </w:p>
    <w:p w:rsidR="00894392"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24"/>
        </w:rPr>
      </w:pPr>
      <w:r w:rsidRPr="00621BD6">
        <w:rPr>
          <w:rFonts w:ascii="Arial" w:hAnsi="Arial" w:cs="Arial"/>
          <w:b/>
          <w:bCs/>
          <w:sz w:val="24"/>
          <w:szCs w:val="24"/>
        </w:rPr>
        <w:t>Registro</w:t>
      </w:r>
      <w:r w:rsidR="00621BD6">
        <w:rPr>
          <w:rFonts w:ascii="Arial" w:hAnsi="Arial" w:cs="Arial"/>
          <w:b/>
          <w:bCs/>
          <w:sz w:val="24"/>
          <w:szCs w:val="24"/>
        </w:rPr>
        <w:t xml:space="preserve">: </w:t>
      </w:r>
      <w:r w:rsidRPr="00621BD6">
        <w:rPr>
          <w:rFonts w:ascii="Arial" w:hAnsi="Arial" w:cs="Arial"/>
          <w:b/>
          <w:bCs/>
          <w:sz w:val="24"/>
          <w:szCs w:val="24"/>
        </w:rPr>
        <w:t>Predios de Lima</w:t>
      </w:r>
    </w:p>
    <w:p w:rsidR="00894392"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sz w:val="24"/>
          <w:szCs w:val="24"/>
        </w:rPr>
      </w:pPr>
      <w:r w:rsidRPr="00621BD6">
        <w:rPr>
          <w:rFonts w:ascii="Arial" w:hAnsi="Arial" w:cs="Arial"/>
          <w:b/>
          <w:bCs/>
          <w:sz w:val="24"/>
          <w:szCs w:val="24"/>
        </w:rPr>
        <w:t>Acto</w:t>
      </w:r>
      <w:r w:rsidR="00621BD6">
        <w:rPr>
          <w:rFonts w:ascii="Arial" w:hAnsi="Arial" w:cs="Arial"/>
          <w:b/>
          <w:bCs/>
          <w:sz w:val="24"/>
          <w:szCs w:val="24"/>
        </w:rPr>
        <w:t xml:space="preserve">: </w:t>
      </w:r>
      <w:r w:rsidRPr="00621BD6">
        <w:rPr>
          <w:rFonts w:ascii="Arial" w:hAnsi="Arial" w:cs="Arial"/>
          <w:b/>
          <w:bCs/>
          <w:sz w:val="24"/>
          <w:szCs w:val="24"/>
        </w:rPr>
        <w:t>Compraventa</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szCs w:val="24"/>
        </w:rPr>
        <w:t>Sumilla</w:t>
      </w:r>
      <w:r w:rsidR="00621BD6">
        <w:rPr>
          <w:rFonts w:ascii="Arial" w:hAnsi="Arial" w:cs="Arial"/>
          <w:b/>
          <w:bCs/>
          <w:sz w:val="24"/>
          <w:szCs w:val="24"/>
        </w:rPr>
        <w:t>:</w:t>
      </w:r>
      <w:r>
        <w:rPr>
          <w:rFonts w:ascii="Arial" w:hAnsi="Arial" w:cs="Arial"/>
          <w:b/>
          <w:bCs/>
          <w:sz w:val="24"/>
          <w:szCs w:val="24"/>
        </w:rPr>
        <w:t xml:space="preserve"> </w:t>
      </w:r>
      <w:r w:rsidR="00207B9C" w:rsidRPr="00621BD6">
        <w:rPr>
          <w:rFonts w:ascii="Arial" w:hAnsi="Arial" w:cs="Arial"/>
          <w:b/>
          <w:bCs/>
          <w:sz w:val="24"/>
        </w:rPr>
        <w:t>A</w:t>
      </w:r>
      <w:r w:rsidRPr="00621BD6">
        <w:rPr>
          <w:rFonts w:ascii="Arial" w:hAnsi="Arial" w:cs="Arial"/>
          <w:b/>
          <w:bCs/>
          <w:sz w:val="24"/>
        </w:rPr>
        <w:t>notación preventiva de proyecto de habilitación urbana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El asiento de anotación preventiva caducará de pleno derecho al vencimiento del plazo de vigencia de la licencia de habilitación computado conforme a lo previsto en el artículo</w:t>
      </w:r>
      <w:r w:rsidR="00894392">
        <w:rPr>
          <w:rFonts w:ascii="Arial" w:hAnsi="Arial" w:cs="Arial"/>
          <w:sz w:val="24"/>
        </w:rPr>
        <w:t xml:space="preserve"> </w:t>
      </w:r>
      <w:r w:rsidRPr="00621BD6">
        <w:rPr>
          <w:rFonts w:ascii="Arial" w:hAnsi="Arial" w:cs="Arial"/>
          <w:sz w:val="24"/>
        </w:rPr>
        <w:t>11 de la Ley N.° 29090. Asimismo, las partidas preindependizadas y las anotaciones preventivas extendidas en ellas se mantendrán vigentes hasta la caducidad del asiento de anotación preventiva del proyecto de habilitación urbana. Producida la caducidad, se procederá al cierre de dichas partidas.</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I.</w:t>
      </w:r>
      <w:r w:rsidR="00621BD6">
        <w:rPr>
          <w:rFonts w:ascii="Arial" w:hAnsi="Arial" w:cs="Arial"/>
          <w:b/>
          <w:bCs/>
          <w:sz w:val="24"/>
          <w:szCs w:val="24"/>
        </w:rPr>
        <w:t xml:space="preserve"> </w:t>
      </w:r>
      <w:r w:rsidRPr="00621BD6">
        <w:rPr>
          <w:rFonts w:ascii="Arial" w:hAnsi="Arial" w:cs="Arial"/>
          <w:b/>
          <w:bCs/>
          <w:sz w:val="24"/>
          <w:szCs w:val="24"/>
        </w:rPr>
        <w:t>A</w:t>
      </w:r>
      <w:r w:rsidR="00894392" w:rsidRPr="00621BD6">
        <w:rPr>
          <w:rFonts w:ascii="Arial" w:hAnsi="Arial" w:cs="Arial"/>
          <w:b/>
          <w:bCs/>
          <w:sz w:val="24"/>
          <w:szCs w:val="24"/>
        </w:rPr>
        <w:t>cto</w:t>
      </w:r>
      <w:r w:rsidR="00894392">
        <w:rPr>
          <w:rFonts w:ascii="Arial" w:hAnsi="Arial" w:cs="Arial"/>
          <w:b/>
          <w:bCs/>
          <w:sz w:val="24"/>
          <w:szCs w:val="24"/>
        </w:rPr>
        <w:t xml:space="preserve"> </w:t>
      </w:r>
      <w:r w:rsidR="00894392" w:rsidRPr="00621BD6">
        <w:rPr>
          <w:rFonts w:ascii="Arial" w:hAnsi="Arial" w:cs="Arial"/>
          <w:b/>
          <w:bCs/>
          <w:sz w:val="24"/>
          <w:szCs w:val="24"/>
        </w:rPr>
        <w:t>cuya</w:t>
      </w:r>
      <w:r w:rsidR="00894392">
        <w:rPr>
          <w:rFonts w:ascii="Arial" w:hAnsi="Arial" w:cs="Arial"/>
          <w:b/>
          <w:bCs/>
          <w:sz w:val="24"/>
          <w:szCs w:val="24"/>
        </w:rPr>
        <w:t xml:space="preserve"> </w:t>
      </w:r>
      <w:r w:rsidR="00894392" w:rsidRPr="00621BD6">
        <w:rPr>
          <w:rFonts w:ascii="Arial" w:hAnsi="Arial" w:cs="Arial"/>
          <w:b/>
          <w:bCs/>
          <w:sz w:val="24"/>
          <w:szCs w:val="24"/>
        </w:rPr>
        <w:t>inscripción</w:t>
      </w:r>
      <w:r w:rsidR="00894392">
        <w:rPr>
          <w:rFonts w:ascii="Arial" w:hAnsi="Arial" w:cs="Arial"/>
          <w:b/>
          <w:bCs/>
          <w:sz w:val="24"/>
          <w:szCs w:val="24"/>
        </w:rPr>
        <w:t xml:space="preserve"> </w:t>
      </w:r>
      <w:r w:rsidR="00894392" w:rsidRPr="00621BD6">
        <w:rPr>
          <w:rFonts w:ascii="Arial" w:hAnsi="Arial" w:cs="Arial"/>
          <w:b/>
          <w:bCs/>
          <w:sz w:val="24"/>
          <w:szCs w:val="24"/>
        </w:rPr>
        <w:t>se</w:t>
      </w:r>
      <w:r w:rsidR="00894392">
        <w:rPr>
          <w:rFonts w:ascii="Arial" w:hAnsi="Arial" w:cs="Arial"/>
          <w:b/>
          <w:bCs/>
          <w:sz w:val="24"/>
          <w:szCs w:val="24"/>
        </w:rPr>
        <w:t xml:space="preserve"> </w:t>
      </w:r>
      <w:r w:rsidR="00894392" w:rsidRPr="00621BD6">
        <w:rPr>
          <w:rFonts w:ascii="Arial" w:hAnsi="Arial" w:cs="Arial"/>
          <w:b/>
          <w:bCs/>
          <w:sz w:val="24"/>
          <w:szCs w:val="24"/>
        </w:rPr>
        <w:t>solicita</w:t>
      </w:r>
      <w:r w:rsidR="00894392">
        <w:rPr>
          <w:rFonts w:ascii="Arial" w:hAnsi="Arial" w:cs="Arial"/>
          <w:b/>
          <w:bCs/>
          <w:sz w:val="24"/>
          <w:szCs w:val="24"/>
        </w:rPr>
        <w:t xml:space="preserve"> </w:t>
      </w:r>
      <w:r w:rsidR="00894392" w:rsidRPr="00621BD6">
        <w:rPr>
          <w:rFonts w:ascii="Arial" w:hAnsi="Arial" w:cs="Arial"/>
          <w:b/>
          <w:bCs/>
          <w:sz w:val="24"/>
          <w:szCs w:val="24"/>
        </w:rPr>
        <w:t>y</w:t>
      </w:r>
      <w:r w:rsidR="00894392">
        <w:rPr>
          <w:rFonts w:ascii="Arial" w:hAnsi="Arial" w:cs="Arial"/>
          <w:b/>
          <w:bCs/>
          <w:sz w:val="24"/>
          <w:szCs w:val="24"/>
        </w:rPr>
        <w:t xml:space="preserve"> </w:t>
      </w:r>
      <w:r w:rsidR="00894392" w:rsidRPr="00621BD6">
        <w:rPr>
          <w:rFonts w:ascii="Arial" w:hAnsi="Arial" w:cs="Arial"/>
          <w:b/>
          <w:bCs/>
          <w:sz w:val="24"/>
          <w:szCs w:val="24"/>
        </w:rPr>
        <w:t>documentación presentada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 xml:space="preserve">Con el título venido en grado de apelación se solicita, a través del Sistema de Intermediación Digital </w:t>
      </w:r>
      <w:r w:rsidR="00621BD6">
        <w:rPr>
          <w:rFonts w:ascii="Arial" w:hAnsi="Arial" w:cs="Arial"/>
          <w:sz w:val="24"/>
          <w:szCs w:val="24"/>
        </w:rPr>
        <w:t>-</w:t>
      </w:r>
      <w:r w:rsidRPr="00621BD6">
        <w:rPr>
          <w:rFonts w:ascii="Arial" w:hAnsi="Arial" w:cs="Arial"/>
          <w:sz w:val="24"/>
          <w:szCs w:val="24"/>
        </w:rPr>
        <w:t xml:space="preserve"> SID </w:t>
      </w:r>
      <w:r w:rsidR="00621BD6">
        <w:rPr>
          <w:rFonts w:ascii="Arial" w:hAnsi="Arial" w:cs="Arial"/>
          <w:sz w:val="24"/>
          <w:szCs w:val="24"/>
        </w:rPr>
        <w:t>Sunarp</w:t>
      </w:r>
      <w:r w:rsidRPr="00621BD6">
        <w:rPr>
          <w:rFonts w:ascii="Arial" w:hAnsi="Arial" w:cs="Arial"/>
          <w:sz w:val="24"/>
          <w:szCs w:val="24"/>
        </w:rPr>
        <w:t>, la inscripción de la compraventa celebrada por la Compañía Inmobiliaria Constructora y de Transportes Estrella Andina S.A. (</w:t>
      </w:r>
      <w:r w:rsidR="00894392" w:rsidRPr="00621BD6">
        <w:rPr>
          <w:rFonts w:ascii="Arial" w:hAnsi="Arial" w:cs="Arial"/>
          <w:sz w:val="24"/>
          <w:szCs w:val="24"/>
        </w:rPr>
        <w:t>Cicontesa</w:t>
      </w:r>
      <w:r w:rsidRPr="00621BD6">
        <w:rPr>
          <w:rFonts w:ascii="Arial" w:hAnsi="Arial" w:cs="Arial"/>
          <w:sz w:val="24"/>
          <w:szCs w:val="24"/>
        </w:rPr>
        <w:t>) a favor de Abel Cabrera Sánchez, sobre el inmueble registrado en la partida registral N</w:t>
      </w:r>
      <w:r w:rsidR="00627D7E">
        <w:rPr>
          <w:rFonts w:ascii="Arial" w:hAnsi="Arial" w:cs="Arial"/>
          <w:sz w:val="24"/>
          <w:szCs w:val="24"/>
        </w:rPr>
        <w:t>.</w:t>
      </w:r>
      <w:r w:rsidRPr="00621BD6">
        <w:rPr>
          <w:rFonts w:ascii="Arial" w:hAnsi="Arial" w:cs="Arial"/>
          <w:sz w:val="24"/>
          <w:szCs w:val="24"/>
        </w:rPr>
        <w:t>° P03303647 del Registro de Predios de Lima.</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Para tal efecto, se ha presentado la siguiente documentación:</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Formato de solicitud de inscripción que contiene la rogatoria.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Parte notarial de la escritura pública N.° 552 del 05.03.2019 extendida por el notario público de Lima Santos Alejandro Collantes Becerra.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II.</w:t>
      </w:r>
      <w:r w:rsidR="00621BD6">
        <w:rPr>
          <w:rFonts w:ascii="Arial" w:hAnsi="Arial" w:cs="Arial"/>
          <w:b/>
          <w:bCs/>
          <w:sz w:val="24"/>
          <w:szCs w:val="24"/>
        </w:rPr>
        <w:t xml:space="preserve"> </w:t>
      </w:r>
      <w:r w:rsidRPr="00621BD6">
        <w:rPr>
          <w:rFonts w:ascii="Arial" w:hAnsi="Arial" w:cs="Arial"/>
          <w:b/>
          <w:bCs/>
          <w:sz w:val="24"/>
          <w:szCs w:val="24"/>
        </w:rPr>
        <w:t>D</w:t>
      </w:r>
      <w:r w:rsidR="00894392" w:rsidRPr="00621BD6">
        <w:rPr>
          <w:rFonts w:ascii="Arial" w:hAnsi="Arial" w:cs="Arial"/>
          <w:b/>
          <w:bCs/>
          <w:sz w:val="24"/>
          <w:szCs w:val="24"/>
        </w:rPr>
        <w:t>ecisión impugnada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La registradora pública del Registro de Predios de Lima Milagros Teresina</w:t>
      </w:r>
      <w:r w:rsidR="00894392">
        <w:rPr>
          <w:rFonts w:ascii="Arial" w:hAnsi="Arial" w:cs="Arial"/>
          <w:sz w:val="24"/>
          <w:szCs w:val="24"/>
        </w:rPr>
        <w:t xml:space="preserve"> </w:t>
      </w:r>
      <w:r w:rsidRPr="00621BD6">
        <w:rPr>
          <w:rFonts w:ascii="Arial" w:hAnsi="Arial" w:cs="Arial"/>
          <w:sz w:val="24"/>
          <w:szCs w:val="24"/>
        </w:rPr>
        <w:t>Sánchez Dediós observó el título en los términos siguientes:</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Pr>
          <w:rFonts w:ascii="Arial" w:hAnsi="Arial" w:cs="Arial"/>
          <w:sz w:val="24"/>
        </w:rPr>
        <w:t>"</w:t>
      </w:r>
      <w:r w:rsidR="00207B9C" w:rsidRPr="00621BD6">
        <w:rPr>
          <w:rFonts w:ascii="Arial" w:hAnsi="Arial" w:cs="Arial"/>
          <w:sz w:val="24"/>
        </w:rPr>
        <w:t>Señor(es):</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E</w:t>
      </w:r>
      <w:r w:rsidR="00894392" w:rsidRPr="00621BD6">
        <w:rPr>
          <w:rFonts w:ascii="Arial" w:hAnsi="Arial" w:cs="Arial"/>
          <w:sz w:val="24"/>
        </w:rPr>
        <w:t xml:space="preserve">n relación con dicho título, manifiesto que en el mismo adolece de defecto </w:t>
      </w:r>
      <w:r w:rsidRPr="00621BD6">
        <w:rPr>
          <w:rFonts w:ascii="Arial" w:hAnsi="Arial" w:cs="Arial"/>
          <w:sz w:val="24"/>
        </w:rPr>
        <w:t>subsanable, siendo objeto de la(s) siguiente(s) observacio(nes), acorde con la(s) norm(as) que se cita(n):</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u w:val="thick"/>
        </w:rPr>
        <w:t>Acto</w:t>
      </w:r>
      <w:r w:rsidR="00207B9C" w:rsidRPr="00621BD6">
        <w:rPr>
          <w:rFonts w:ascii="Arial" w:hAnsi="Arial" w:cs="Arial"/>
          <w:b/>
          <w:bCs/>
          <w:sz w:val="24"/>
          <w:u w:val="thick"/>
        </w:rPr>
        <w:t xml:space="preserve">: </w:t>
      </w:r>
      <w:r w:rsidRPr="00621BD6">
        <w:rPr>
          <w:rFonts w:ascii="Arial" w:hAnsi="Arial" w:cs="Arial"/>
          <w:b/>
          <w:bCs/>
          <w:sz w:val="24"/>
          <w:u w:val="thick"/>
        </w:rPr>
        <w:t>compraventa</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 xml:space="preserve">Revisada la partida P03303647, donde consta inscrito el lote 35 de la </w:t>
      </w:r>
      <w:r w:rsidR="00894392" w:rsidRPr="00621BD6">
        <w:rPr>
          <w:rFonts w:ascii="Arial" w:hAnsi="Arial" w:cs="Arial"/>
          <w:sz w:val="24"/>
        </w:rPr>
        <w:t xml:space="preserve">manzana </w:t>
      </w:r>
      <w:r w:rsidRPr="00621BD6">
        <w:rPr>
          <w:rFonts w:ascii="Arial" w:hAnsi="Arial" w:cs="Arial"/>
          <w:sz w:val="24"/>
        </w:rPr>
        <w:t>G segunda etapa del Programa de Vivienda los Ángeles de Pachacamac, predio materia de compraventa; se advierte que dicha partida se encuentra con preindependización</w:t>
      </w:r>
      <w:r w:rsidR="00621BD6">
        <w:rPr>
          <w:rFonts w:ascii="Arial" w:hAnsi="Arial" w:cs="Arial"/>
          <w:sz w:val="24"/>
        </w:rPr>
        <w:t xml:space="preserve"> </w:t>
      </w:r>
      <w:r w:rsidRPr="00621BD6">
        <w:rPr>
          <w:rFonts w:ascii="Arial" w:hAnsi="Arial" w:cs="Arial"/>
          <w:sz w:val="24"/>
        </w:rPr>
        <w:t>p</w:t>
      </w:r>
      <w:r w:rsidR="00894392" w:rsidRPr="00621BD6">
        <w:rPr>
          <w:rFonts w:ascii="Arial" w:hAnsi="Arial" w:cs="Arial"/>
          <w:sz w:val="24"/>
        </w:rPr>
        <w:t>or</w:t>
      </w:r>
      <w:r w:rsidR="00894392">
        <w:rPr>
          <w:rFonts w:ascii="Arial" w:hAnsi="Arial" w:cs="Arial"/>
          <w:sz w:val="24"/>
        </w:rPr>
        <w:t xml:space="preserve"> </w:t>
      </w:r>
      <w:r w:rsidR="00894392" w:rsidRPr="00621BD6">
        <w:rPr>
          <w:rFonts w:ascii="Arial" w:hAnsi="Arial" w:cs="Arial"/>
          <w:sz w:val="24"/>
        </w:rPr>
        <w:t>anotación</w:t>
      </w:r>
      <w:r w:rsidR="00894392">
        <w:rPr>
          <w:rFonts w:ascii="Arial" w:hAnsi="Arial" w:cs="Arial"/>
          <w:sz w:val="24"/>
        </w:rPr>
        <w:t xml:space="preserve"> </w:t>
      </w:r>
      <w:r w:rsidR="00894392" w:rsidRPr="00621BD6">
        <w:rPr>
          <w:rFonts w:ascii="Arial" w:hAnsi="Arial" w:cs="Arial"/>
          <w:sz w:val="24"/>
        </w:rPr>
        <w:t>preventiva del</w:t>
      </w:r>
      <w:r w:rsidR="00894392">
        <w:rPr>
          <w:rFonts w:ascii="Arial" w:hAnsi="Arial" w:cs="Arial"/>
          <w:sz w:val="24"/>
        </w:rPr>
        <w:t xml:space="preserve"> </w:t>
      </w:r>
      <w:r w:rsidR="00894392" w:rsidRPr="00621BD6">
        <w:rPr>
          <w:rFonts w:ascii="Arial" w:hAnsi="Arial" w:cs="Arial"/>
          <w:sz w:val="24"/>
        </w:rPr>
        <w:t>proyecto de</w:t>
      </w:r>
      <w:r w:rsidR="00894392">
        <w:rPr>
          <w:rFonts w:ascii="Arial" w:hAnsi="Arial" w:cs="Arial"/>
          <w:sz w:val="24"/>
        </w:rPr>
        <w:t xml:space="preserve"> </w:t>
      </w:r>
      <w:r w:rsidR="00894392" w:rsidRPr="00621BD6">
        <w:rPr>
          <w:rFonts w:ascii="Arial" w:hAnsi="Arial" w:cs="Arial"/>
          <w:sz w:val="24"/>
        </w:rPr>
        <w:t>habilitación urbana con autorización para celebrar contratos de venta garanti</w:t>
      </w:r>
      <w:r w:rsidRPr="00621BD6">
        <w:rPr>
          <w:rFonts w:ascii="Arial" w:hAnsi="Arial" w:cs="Arial"/>
          <w:sz w:val="24"/>
        </w:rPr>
        <w:t>zada. Por tanto a efectos de continuar con la calificación del título, previamente deberá inscribirse en forma definitiva la recepción de obras, de acuerdo al Art. 44</w:t>
      </w:r>
      <w:r w:rsidR="00894392">
        <w:rPr>
          <w:rFonts w:ascii="Arial" w:hAnsi="Arial" w:cs="Arial"/>
          <w:sz w:val="24"/>
        </w:rPr>
        <w:t xml:space="preserve"> </w:t>
      </w:r>
      <w:r w:rsidRPr="00621BD6">
        <w:rPr>
          <w:rFonts w:ascii="Arial" w:hAnsi="Arial" w:cs="Arial"/>
          <w:sz w:val="24"/>
        </w:rPr>
        <w:t>del Reglamento de Inscripciones de Registro de Predios.</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lastRenderedPageBreak/>
        <w:t>Sírvase aclarar.</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Se deja constancia que la anotación preventiva de preindependización caducó el 12/02/2005, conforme lo dispone el Art. 11 de la Ley 29090.</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Base legal: Art. 31 y 32 del T.U.O. del Reglamento General de los Registros</w:t>
      </w:r>
      <w:r w:rsidR="00894392">
        <w:rPr>
          <w:rFonts w:ascii="Arial" w:hAnsi="Arial" w:cs="Arial"/>
          <w:sz w:val="24"/>
        </w:rPr>
        <w:t xml:space="preserve"> </w:t>
      </w:r>
      <w:r w:rsidRPr="00621BD6">
        <w:rPr>
          <w:rFonts w:ascii="Arial" w:hAnsi="Arial" w:cs="Arial"/>
          <w:sz w:val="24"/>
        </w:rPr>
        <w:t>Públicos. Art. 2011 del Código Civil.</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w:t>
      </w:r>
      <w:r w:rsidR="00894392">
        <w:rPr>
          <w:rFonts w:ascii="Arial" w:hAnsi="Arial" w:cs="Arial"/>
          <w:sz w:val="24"/>
        </w:rPr>
        <w:t>"</w:t>
      </w:r>
      <w:r w:rsidRPr="00621BD6">
        <w:rPr>
          <w:rFonts w:ascii="Arial" w:hAnsi="Arial" w:cs="Arial"/>
          <w:sz w:val="24"/>
        </w:rPr>
        <w:t>.</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III.</w:t>
      </w:r>
      <w:r w:rsidR="00621BD6">
        <w:rPr>
          <w:rFonts w:ascii="Arial" w:hAnsi="Arial" w:cs="Arial"/>
          <w:b/>
          <w:bCs/>
          <w:sz w:val="24"/>
          <w:szCs w:val="24"/>
        </w:rPr>
        <w:t xml:space="preserve"> </w:t>
      </w:r>
      <w:r w:rsidRPr="00621BD6">
        <w:rPr>
          <w:rFonts w:ascii="Arial" w:hAnsi="Arial" w:cs="Arial"/>
          <w:b/>
          <w:bCs/>
          <w:sz w:val="24"/>
          <w:szCs w:val="24"/>
        </w:rPr>
        <w:t>F</w:t>
      </w:r>
      <w:r w:rsidR="00894392" w:rsidRPr="00621BD6">
        <w:rPr>
          <w:rFonts w:ascii="Arial" w:hAnsi="Arial" w:cs="Arial"/>
          <w:b/>
          <w:bCs/>
          <w:sz w:val="24"/>
          <w:szCs w:val="24"/>
        </w:rPr>
        <w:t>undamentos de la apelación</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El recurrente señala, entre otros, los siguientes fundamentos:</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La norma citada no señala que previamente se tenga que inscribir la recepción de obras para la posterior compraventa, más</w:t>
      </w:r>
      <w:r w:rsidR="00621BD6">
        <w:rPr>
          <w:rFonts w:ascii="Arial" w:hAnsi="Arial" w:cs="Arial"/>
          <w:sz w:val="24"/>
          <w:szCs w:val="24"/>
        </w:rPr>
        <w:t xml:space="preserve"> </w:t>
      </w:r>
      <w:r w:rsidRPr="00621BD6">
        <w:rPr>
          <w:rFonts w:ascii="Arial" w:hAnsi="Arial" w:cs="Arial"/>
          <w:sz w:val="24"/>
          <w:szCs w:val="24"/>
        </w:rPr>
        <w:t>aún si de la</w:t>
      </w:r>
      <w:r w:rsidR="00894392">
        <w:rPr>
          <w:rFonts w:ascii="Arial" w:hAnsi="Arial" w:cs="Arial"/>
          <w:sz w:val="24"/>
          <w:szCs w:val="24"/>
        </w:rPr>
        <w:t xml:space="preserve"> </w:t>
      </w:r>
      <w:r w:rsidRPr="00621BD6">
        <w:rPr>
          <w:rFonts w:ascii="Arial" w:hAnsi="Arial" w:cs="Arial"/>
          <w:sz w:val="24"/>
          <w:szCs w:val="24"/>
        </w:rPr>
        <w:t>lectura del asiento se autoriza a celebrar contratos de compraventa</w:t>
      </w:r>
      <w:r w:rsidR="00894392">
        <w:rPr>
          <w:rFonts w:ascii="Arial" w:hAnsi="Arial" w:cs="Arial"/>
          <w:sz w:val="24"/>
          <w:szCs w:val="24"/>
        </w:rPr>
        <w:t xml:space="preserve"> </w:t>
      </w:r>
      <w:r w:rsidRPr="00621BD6">
        <w:rPr>
          <w:rFonts w:ascii="Arial" w:hAnsi="Arial" w:cs="Arial"/>
          <w:sz w:val="24"/>
          <w:szCs w:val="24"/>
        </w:rPr>
        <w:t>garantizada;</w:t>
      </w:r>
      <w:r w:rsidR="00621BD6">
        <w:rPr>
          <w:rFonts w:ascii="Arial" w:hAnsi="Arial" w:cs="Arial"/>
          <w:sz w:val="24"/>
          <w:szCs w:val="24"/>
        </w:rPr>
        <w:t xml:space="preserve"> </w:t>
      </w:r>
      <w:r w:rsidRPr="00621BD6">
        <w:rPr>
          <w:rFonts w:ascii="Arial" w:hAnsi="Arial" w:cs="Arial"/>
          <w:sz w:val="24"/>
          <w:szCs w:val="24"/>
        </w:rPr>
        <w:t>en</w:t>
      </w:r>
      <w:r w:rsidR="00621BD6">
        <w:rPr>
          <w:rFonts w:ascii="Arial" w:hAnsi="Arial" w:cs="Arial"/>
          <w:sz w:val="24"/>
          <w:szCs w:val="24"/>
        </w:rPr>
        <w:t xml:space="preserve"> </w:t>
      </w:r>
      <w:r w:rsidRPr="00621BD6">
        <w:rPr>
          <w:rFonts w:ascii="Arial" w:hAnsi="Arial" w:cs="Arial"/>
          <w:sz w:val="24"/>
          <w:szCs w:val="24"/>
        </w:rPr>
        <w:t>ese</w:t>
      </w:r>
      <w:r w:rsidR="00621BD6">
        <w:rPr>
          <w:rFonts w:ascii="Arial" w:hAnsi="Arial" w:cs="Arial"/>
          <w:sz w:val="24"/>
          <w:szCs w:val="24"/>
        </w:rPr>
        <w:t xml:space="preserve"> </w:t>
      </w:r>
      <w:r w:rsidRPr="00621BD6">
        <w:rPr>
          <w:rFonts w:ascii="Arial" w:hAnsi="Arial" w:cs="Arial"/>
          <w:sz w:val="24"/>
          <w:szCs w:val="24"/>
        </w:rPr>
        <w:t>orden,</w:t>
      </w:r>
      <w:r w:rsidR="00621BD6">
        <w:rPr>
          <w:rFonts w:ascii="Arial" w:hAnsi="Arial" w:cs="Arial"/>
          <w:sz w:val="24"/>
          <w:szCs w:val="24"/>
        </w:rPr>
        <w:t xml:space="preserve"> </w:t>
      </w:r>
      <w:r w:rsidRPr="00621BD6">
        <w:rPr>
          <w:rFonts w:ascii="Arial" w:hAnsi="Arial" w:cs="Arial"/>
          <w:sz w:val="24"/>
          <w:szCs w:val="24"/>
        </w:rPr>
        <w:t>el</w:t>
      </w:r>
      <w:r w:rsidR="00621BD6">
        <w:rPr>
          <w:rFonts w:ascii="Arial" w:hAnsi="Arial" w:cs="Arial"/>
          <w:sz w:val="24"/>
          <w:szCs w:val="24"/>
        </w:rPr>
        <w:t xml:space="preserve"> </w:t>
      </w:r>
      <w:r w:rsidRPr="00621BD6">
        <w:rPr>
          <w:rFonts w:ascii="Arial" w:hAnsi="Arial" w:cs="Arial"/>
          <w:sz w:val="24"/>
          <w:szCs w:val="24"/>
        </w:rPr>
        <w:t>artículo</w:t>
      </w:r>
      <w:r w:rsidR="00621BD6">
        <w:rPr>
          <w:rFonts w:ascii="Arial" w:hAnsi="Arial" w:cs="Arial"/>
          <w:sz w:val="24"/>
          <w:szCs w:val="24"/>
        </w:rPr>
        <w:t xml:space="preserve"> </w:t>
      </w:r>
      <w:r w:rsidRPr="00621BD6">
        <w:rPr>
          <w:rFonts w:ascii="Arial" w:hAnsi="Arial" w:cs="Arial"/>
          <w:sz w:val="24"/>
          <w:szCs w:val="24"/>
        </w:rPr>
        <w:t>49</w:t>
      </w:r>
      <w:r w:rsidR="00621BD6">
        <w:rPr>
          <w:rFonts w:ascii="Arial" w:hAnsi="Arial" w:cs="Arial"/>
          <w:sz w:val="24"/>
          <w:szCs w:val="24"/>
        </w:rPr>
        <w:t xml:space="preserve"> </w:t>
      </w:r>
      <w:r w:rsidRPr="00621BD6">
        <w:rPr>
          <w:rFonts w:ascii="Arial" w:hAnsi="Arial" w:cs="Arial"/>
          <w:sz w:val="24"/>
          <w:szCs w:val="24"/>
        </w:rPr>
        <w:t>del</w:t>
      </w:r>
      <w:r w:rsidR="00621BD6">
        <w:rPr>
          <w:rFonts w:ascii="Arial" w:hAnsi="Arial" w:cs="Arial"/>
          <w:sz w:val="24"/>
          <w:szCs w:val="24"/>
        </w:rPr>
        <w:t xml:space="preserve"> </w:t>
      </w:r>
      <w:r w:rsidRPr="00621BD6">
        <w:rPr>
          <w:rFonts w:ascii="Arial" w:hAnsi="Arial" w:cs="Arial"/>
          <w:sz w:val="24"/>
          <w:szCs w:val="24"/>
        </w:rPr>
        <w:t>Reglamento</w:t>
      </w:r>
      <w:r w:rsidR="00621BD6">
        <w:rPr>
          <w:rFonts w:ascii="Arial" w:hAnsi="Arial" w:cs="Arial"/>
          <w:sz w:val="24"/>
          <w:szCs w:val="24"/>
        </w:rPr>
        <w:t xml:space="preserve"> </w:t>
      </w:r>
      <w:r w:rsidRPr="00621BD6">
        <w:rPr>
          <w:rFonts w:ascii="Arial" w:hAnsi="Arial" w:cs="Arial"/>
          <w:sz w:val="24"/>
          <w:szCs w:val="24"/>
        </w:rPr>
        <w:t>de</w:t>
      </w:r>
      <w:r w:rsidR="00894392">
        <w:rPr>
          <w:rFonts w:ascii="Arial" w:hAnsi="Arial" w:cs="Arial"/>
          <w:sz w:val="24"/>
          <w:szCs w:val="24"/>
        </w:rPr>
        <w:t xml:space="preserve"> </w:t>
      </w:r>
      <w:r w:rsidRPr="00621BD6">
        <w:rPr>
          <w:rFonts w:ascii="Arial" w:hAnsi="Arial" w:cs="Arial"/>
          <w:sz w:val="24"/>
          <w:szCs w:val="24"/>
        </w:rPr>
        <w:t xml:space="preserve">Inscripciones del Registro de Predios regula la inscripción de actos de disposición de lotes que integran una habilitación urbana, señalando: </w:t>
      </w:r>
      <w:r w:rsidR="00894392">
        <w:rPr>
          <w:rFonts w:ascii="Arial" w:hAnsi="Arial" w:cs="Arial"/>
          <w:sz w:val="24"/>
        </w:rPr>
        <w:t>"</w:t>
      </w:r>
      <w:r w:rsidRPr="00621BD6">
        <w:rPr>
          <w:rFonts w:ascii="Arial" w:hAnsi="Arial" w:cs="Arial"/>
          <w:sz w:val="24"/>
        </w:rPr>
        <w:t>Para inscribir la transferencia de propiedad y demás actos de disposición de los lotes que integran una habilitación urbana, previamente debe inscribirse la</w:t>
      </w:r>
      <w:r w:rsidR="00621BD6">
        <w:rPr>
          <w:rFonts w:ascii="Arial" w:hAnsi="Arial" w:cs="Arial"/>
          <w:sz w:val="24"/>
        </w:rPr>
        <w:t xml:space="preserve"> </w:t>
      </w:r>
      <w:r w:rsidRPr="00621BD6">
        <w:rPr>
          <w:rFonts w:ascii="Arial" w:hAnsi="Arial" w:cs="Arial"/>
          <w:sz w:val="24"/>
        </w:rPr>
        <w:t>recepción</w:t>
      </w:r>
      <w:r w:rsidR="00621BD6">
        <w:rPr>
          <w:rFonts w:ascii="Arial" w:hAnsi="Arial" w:cs="Arial"/>
          <w:sz w:val="24"/>
        </w:rPr>
        <w:t xml:space="preserve"> </w:t>
      </w:r>
      <w:r w:rsidRPr="00621BD6">
        <w:rPr>
          <w:rFonts w:ascii="Arial" w:hAnsi="Arial" w:cs="Arial"/>
          <w:sz w:val="24"/>
        </w:rPr>
        <w:t>de</w:t>
      </w:r>
      <w:r w:rsidR="00621BD6">
        <w:rPr>
          <w:rFonts w:ascii="Arial" w:hAnsi="Arial" w:cs="Arial"/>
          <w:sz w:val="24"/>
        </w:rPr>
        <w:t xml:space="preserve"> </w:t>
      </w:r>
      <w:r w:rsidRPr="00621BD6">
        <w:rPr>
          <w:rFonts w:ascii="Arial" w:hAnsi="Arial" w:cs="Arial"/>
          <w:sz w:val="24"/>
        </w:rPr>
        <w:t>obras,</w:t>
      </w:r>
      <w:r w:rsidR="00621BD6">
        <w:rPr>
          <w:rFonts w:ascii="Arial" w:hAnsi="Arial" w:cs="Arial"/>
          <w:sz w:val="24"/>
        </w:rPr>
        <w:t xml:space="preserve"> </w:t>
      </w:r>
      <w:r w:rsidRPr="00621BD6">
        <w:rPr>
          <w:rFonts w:ascii="Arial" w:hAnsi="Arial" w:cs="Arial"/>
          <w:sz w:val="24"/>
        </w:rPr>
        <w:t>salvo</w:t>
      </w:r>
      <w:r w:rsidR="00621BD6">
        <w:rPr>
          <w:rFonts w:ascii="Arial" w:hAnsi="Arial" w:cs="Arial"/>
          <w:sz w:val="24"/>
        </w:rPr>
        <w:t xml:space="preserve"> </w:t>
      </w:r>
      <w:r w:rsidRPr="00621BD6">
        <w:rPr>
          <w:rFonts w:ascii="Arial" w:hAnsi="Arial" w:cs="Arial"/>
          <w:sz w:val="24"/>
        </w:rPr>
        <w:t>que</w:t>
      </w:r>
      <w:r w:rsidR="00621BD6">
        <w:rPr>
          <w:rFonts w:ascii="Arial" w:hAnsi="Arial" w:cs="Arial"/>
          <w:sz w:val="24"/>
        </w:rPr>
        <w:t xml:space="preserve"> </w:t>
      </w:r>
      <w:r w:rsidRPr="00621BD6">
        <w:rPr>
          <w:rFonts w:ascii="Arial" w:hAnsi="Arial" w:cs="Arial"/>
          <w:sz w:val="24"/>
        </w:rPr>
        <w:t>en</w:t>
      </w:r>
      <w:r w:rsidR="00621BD6">
        <w:rPr>
          <w:rFonts w:ascii="Arial" w:hAnsi="Arial" w:cs="Arial"/>
          <w:sz w:val="24"/>
        </w:rPr>
        <w:t xml:space="preserve"> </w:t>
      </w:r>
      <w:r w:rsidRPr="00621BD6">
        <w:rPr>
          <w:rFonts w:ascii="Arial" w:hAnsi="Arial" w:cs="Arial"/>
          <w:sz w:val="24"/>
        </w:rPr>
        <w:t>la</w:t>
      </w:r>
      <w:r w:rsidR="00621BD6">
        <w:rPr>
          <w:rFonts w:ascii="Arial" w:hAnsi="Arial" w:cs="Arial"/>
          <w:sz w:val="24"/>
        </w:rPr>
        <w:t xml:space="preserve"> </w:t>
      </w:r>
      <w:r w:rsidRPr="00621BD6">
        <w:rPr>
          <w:rFonts w:ascii="Arial" w:hAnsi="Arial" w:cs="Arial"/>
          <w:sz w:val="24"/>
        </w:rPr>
        <w:t>resolución</w:t>
      </w:r>
      <w:r w:rsidR="00621BD6">
        <w:rPr>
          <w:rFonts w:ascii="Arial" w:hAnsi="Arial" w:cs="Arial"/>
          <w:sz w:val="24"/>
        </w:rPr>
        <w:t xml:space="preserve"> </w:t>
      </w:r>
      <w:r w:rsidRPr="00621BD6">
        <w:rPr>
          <w:rFonts w:ascii="Arial" w:hAnsi="Arial" w:cs="Arial"/>
          <w:sz w:val="24"/>
        </w:rPr>
        <w:t>que</w:t>
      </w:r>
      <w:r w:rsidR="00621BD6">
        <w:rPr>
          <w:rFonts w:ascii="Arial" w:hAnsi="Arial" w:cs="Arial"/>
          <w:sz w:val="24"/>
        </w:rPr>
        <w:t xml:space="preserve"> </w:t>
      </w:r>
      <w:r w:rsidRPr="00621BD6">
        <w:rPr>
          <w:rFonts w:ascii="Arial" w:hAnsi="Arial" w:cs="Arial"/>
          <w:sz w:val="24"/>
        </w:rPr>
        <w:t>aprueba</w:t>
      </w:r>
      <w:r w:rsidR="00621BD6">
        <w:rPr>
          <w:rFonts w:ascii="Arial" w:hAnsi="Arial" w:cs="Arial"/>
          <w:sz w:val="24"/>
        </w:rPr>
        <w:t xml:space="preserve"> </w:t>
      </w:r>
      <w:r w:rsidRPr="00621BD6">
        <w:rPr>
          <w:rFonts w:ascii="Arial" w:hAnsi="Arial" w:cs="Arial"/>
          <w:sz w:val="24"/>
        </w:rPr>
        <w:t>dicha habilitación se establezca la libre disponibilidad sin requerirse la recepción de obras conforme a la normativa vigente</w:t>
      </w:r>
      <w:r w:rsidR="00894392">
        <w:rPr>
          <w:rFonts w:ascii="Arial" w:hAnsi="Arial" w:cs="Arial"/>
          <w:sz w:val="24"/>
        </w:rPr>
        <w:t>"</w:t>
      </w:r>
      <w:r w:rsidRPr="00621BD6">
        <w:rPr>
          <w:rFonts w:ascii="Arial" w:hAnsi="Arial" w:cs="Arial"/>
          <w:sz w:val="24"/>
        </w:rPr>
        <w:t xml:space="preserve">. </w:t>
      </w:r>
      <w:r w:rsidRPr="00621BD6">
        <w:rPr>
          <w:rFonts w:ascii="Arial" w:hAnsi="Arial" w:cs="Arial"/>
          <w:sz w:val="24"/>
          <w:szCs w:val="24"/>
        </w:rPr>
        <w:t>La razón de la disposición es para evitar la inscripción de los actos de disposición sino hasta la inscripción de</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recepción</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obras,</w:t>
      </w:r>
      <w:r w:rsidR="00621BD6">
        <w:rPr>
          <w:rFonts w:ascii="Arial" w:hAnsi="Arial" w:cs="Arial"/>
          <w:sz w:val="24"/>
          <w:szCs w:val="24"/>
        </w:rPr>
        <w:t xml:space="preserve"> </w:t>
      </w:r>
      <w:r w:rsidRPr="00621BD6">
        <w:rPr>
          <w:rFonts w:ascii="Arial" w:hAnsi="Arial" w:cs="Arial"/>
          <w:sz w:val="24"/>
          <w:szCs w:val="24"/>
        </w:rPr>
        <w:t>donde</w:t>
      </w:r>
      <w:r w:rsidR="00621BD6">
        <w:rPr>
          <w:rFonts w:ascii="Arial" w:hAnsi="Arial" w:cs="Arial"/>
          <w:sz w:val="24"/>
          <w:szCs w:val="24"/>
        </w:rPr>
        <w:t xml:space="preserve"> </w:t>
      </w:r>
      <w:r w:rsidRPr="00621BD6">
        <w:rPr>
          <w:rFonts w:ascii="Arial" w:hAnsi="Arial" w:cs="Arial"/>
          <w:sz w:val="24"/>
          <w:szCs w:val="24"/>
        </w:rPr>
        <w:t>los</w:t>
      </w:r>
      <w:r w:rsidR="00621BD6">
        <w:rPr>
          <w:rFonts w:ascii="Arial" w:hAnsi="Arial" w:cs="Arial"/>
          <w:sz w:val="24"/>
          <w:szCs w:val="24"/>
        </w:rPr>
        <w:t xml:space="preserve"> </w:t>
      </w:r>
      <w:r w:rsidRPr="00621BD6">
        <w:rPr>
          <w:rFonts w:ascii="Arial" w:hAnsi="Arial" w:cs="Arial"/>
          <w:sz w:val="24"/>
          <w:szCs w:val="24"/>
        </w:rPr>
        <w:t>lotes</w:t>
      </w:r>
      <w:r w:rsidR="00621BD6">
        <w:rPr>
          <w:rFonts w:ascii="Arial" w:hAnsi="Arial" w:cs="Arial"/>
          <w:sz w:val="24"/>
          <w:szCs w:val="24"/>
        </w:rPr>
        <w:t xml:space="preserve"> </w:t>
      </w:r>
      <w:r w:rsidRPr="00621BD6">
        <w:rPr>
          <w:rFonts w:ascii="Arial" w:hAnsi="Arial" w:cs="Arial"/>
          <w:sz w:val="24"/>
          <w:szCs w:val="24"/>
        </w:rPr>
        <w:t>conformantes</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la habilitación</w:t>
      </w:r>
      <w:r w:rsidR="00621BD6">
        <w:rPr>
          <w:rFonts w:ascii="Arial" w:hAnsi="Arial" w:cs="Arial"/>
          <w:sz w:val="24"/>
          <w:szCs w:val="24"/>
        </w:rPr>
        <w:t xml:space="preserve"> </w:t>
      </w:r>
      <w:r w:rsidRPr="00621BD6">
        <w:rPr>
          <w:rFonts w:ascii="Arial" w:hAnsi="Arial" w:cs="Arial"/>
          <w:sz w:val="24"/>
          <w:szCs w:val="24"/>
        </w:rPr>
        <w:t>ya</w:t>
      </w:r>
      <w:r w:rsidR="00621BD6">
        <w:rPr>
          <w:rFonts w:ascii="Arial" w:hAnsi="Arial" w:cs="Arial"/>
          <w:sz w:val="24"/>
          <w:szCs w:val="24"/>
        </w:rPr>
        <w:t xml:space="preserve"> </w:t>
      </w:r>
      <w:r w:rsidRPr="00621BD6">
        <w:rPr>
          <w:rFonts w:ascii="Arial" w:hAnsi="Arial" w:cs="Arial"/>
          <w:sz w:val="24"/>
          <w:szCs w:val="24"/>
        </w:rPr>
        <w:t>se</w:t>
      </w:r>
      <w:r w:rsidR="00621BD6">
        <w:rPr>
          <w:rFonts w:ascii="Arial" w:hAnsi="Arial" w:cs="Arial"/>
          <w:sz w:val="24"/>
          <w:szCs w:val="24"/>
        </w:rPr>
        <w:t xml:space="preserve"> </w:t>
      </w:r>
      <w:r w:rsidRPr="00621BD6">
        <w:rPr>
          <w:rFonts w:ascii="Arial" w:hAnsi="Arial" w:cs="Arial"/>
          <w:sz w:val="24"/>
          <w:szCs w:val="24"/>
        </w:rPr>
        <w:t>encuentran</w:t>
      </w:r>
      <w:r w:rsidR="00621BD6">
        <w:rPr>
          <w:rFonts w:ascii="Arial" w:hAnsi="Arial" w:cs="Arial"/>
          <w:sz w:val="24"/>
          <w:szCs w:val="24"/>
        </w:rPr>
        <w:t xml:space="preserve"> </w:t>
      </w:r>
      <w:r w:rsidRPr="00621BD6">
        <w:rPr>
          <w:rFonts w:ascii="Arial" w:hAnsi="Arial" w:cs="Arial"/>
          <w:sz w:val="24"/>
          <w:szCs w:val="24"/>
        </w:rPr>
        <w:t>definidos</w:t>
      </w:r>
      <w:r w:rsidR="00621BD6">
        <w:rPr>
          <w:rFonts w:ascii="Arial" w:hAnsi="Arial" w:cs="Arial"/>
          <w:sz w:val="24"/>
          <w:szCs w:val="24"/>
        </w:rPr>
        <w:t xml:space="preserve"> </w:t>
      </w:r>
      <w:r w:rsidRPr="00621BD6">
        <w:rPr>
          <w:rFonts w:ascii="Arial" w:hAnsi="Arial" w:cs="Arial"/>
          <w:sz w:val="24"/>
          <w:szCs w:val="24"/>
        </w:rPr>
        <w:t>y</w:t>
      </w:r>
      <w:r w:rsidR="00621BD6">
        <w:rPr>
          <w:rFonts w:ascii="Arial" w:hAnsi="Arial" w:cs="Arial"/>
          <w:sz w:val="24"/>
          <w:szCs w:val="24"/>
        </w:rPr>
        <w:t xml:space="preserve"> </w:t>
      </w:r>
      <w:r w:rsidRPr="00621BD6">
        <w:rPr>
          <w:rFonts w:ascii="Arial" w:hAnsi="Arial" w:cs="Arial"/>
          <w:sz w:val="24"/>
          <w:szCs w:val="24"/>
        </w:rPr>
        <w:t>por</w:t>
      </w:r>
      <w:r w:rsidR="00621BD6">
        <w:rPr>
          <w:rFonts w:ascii="Arial" w:hAnsi="Arial" w:cs="Arial"/>
          <w:sz w:val="24"/>
          <w:szCs w:val="24"/>
        </w:rPr>
        <w:t xml:space="preserve"> </w:t>
      </w:r>
      <w:r w:rsidRPr="00621BD6">
        <w:rPr>
          <w:rFonts w:ascii="Arial" w:hAnsi="Arial" w:cs="Arial"/>
          <w:sz w:val="24"/>
          <w:szCs w:val="24"/>
        </w:rPr>
        <w:t>tanto</w:t>
      </w:r>
      <w:r w:rsidR="00621BD6">
        <w:rPr>
          <w:rFonts w:ascii="Arial" w:hAnsi="Arial" w:cs="Arial"/>
          <w:sz w:val="24"/>
          <w:szCs w:val="24"/>
        </w:rPr>
        <w:t xml:space="preserve"> </w:t>
      </w:r>
      <w:r w:rsidRPr="00621BD6">
        <w:rPr>
          <w:rFonts w:ascii="Arial" w:hAnsi="Arial" w:cs="Arial"/>
          <w:sz w:val="24"/>
          <w:szCs w:val="24"/>
        </w:rPr>
        <w:t>existentes, constituyendo la excepción a ello la autorización expresa por parte de la municipalidad de la libre disponibilidad de lotes.</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En esa línea, sobre la venta garantizada y la autorización de la libre disponibilidad,</w:t>
      </w:r>
      <w:r w:rsidR="00621BD6">
        <w:rPr>
          <w:rFonts w:ascii="Arial" w:hAnsi="Arial" w:cs="Arial"/>
          <w:sz w:val="24"/>
          <w:szCs w:val="24"/>
        </w:rPr>
        <w:t xml:space="preserve"> </w:t>
      </w:r>
      <w:r w:rsidRPr="00621BD6">
        <w:rPr>
          <w:rFonts w:ascii="Arial" w:hAnsi="Arial" w:cs="Arial"/>
          <w:sz w:val="24"/>
          <w:szCs w:val="24"/>
        </w:rPr>
        <w:t>es</w:t>
      </w:r>
      <w:r w:rsidR="00621BD6">
        <w:rPr>
          <w:rFonts w:ascii="Arial" w:hAnsi="Arial" w:cs="Arial"/>
          <w:sz w:val="24"/>
          <w:szCs w:val="24"/>
        </w:rPr>
        <w:t xml:space="preserve"> </w:t>
      </w:r>
      <w:r w:rsidRPr="00621BD6">
        <w:rPr>
          <w:rFonts w:ascii="Arial" w:hAnsi="Arial" w:cs="Arial"/>
          <w:sz w:val="24"/>
          <w:szCs w:val="24"/>
        </w:rPr>
        <w:t>preciso</w:t>
      </w:r>
      <w:r w:rsidR="00621BD6">
        <w:rPr>
          <w:rFonts w:ascii="Arial" w:hAnsi="Arial" w:cs="Arial"/>
          <w:sz w:val="24"/>
          <w:szCs w:val="24"/>
        </w:rPr>
        <w:t xml:space="preserve"> </w:t>
      </w:r>
      <w:r w:rsidRPr="00621BD6">
        <w:rPr>
          <w:rFonts w:ascii="Arial" w:hAnsi="Arial" w:cs="Arial"/>
          <w:sz w:val="24"/>
          <w:szCs w:val="24"/>
        </w:rPr>
        <w:t>señalar</w:t>
      </w:r>
      <w:r w:rsidR="00621BD6">
        <w:rPr>
          <w:rFonts w:ascii="Arial" w:hAnsi="Arial" w:cs="Arial"/>
          <w:sz w:val="24"/>
          <w:szCs w:val="24"/>
        </w:rPr>
        <w:t xml:space="preserve"> </w:t>
      </w:r>
      <w:r w:rsidRPr="00621BD6">
        <w:rPr>
          <w:rFonts w:ascii="Arial" w:hAnsi="Arial" w:cs="Arial"/>
          <w:sz w:val="24"/>
          <w:szCs w:val="24"/>
        </w:rPr>
        <w:t>que,</w:t>
      </w:r>
      <w:r w:rsidR="00621BD6">
        <w:rPr>
          <w:rFonts w:ascii="Arial" w:hAnsi="Arial" w:cs="Arial"/>
          <w:sz w:val="24"/>
          <w:szCs w:val="24"/>
        </w:rPr>
        <w:t xml:space="preserve"> </w:t>
      </w:r>
      <w:r w:rsidRPr="00621BD6">
        <w:rPr>
          <w:rFonts w:ascii="Arial" w:hAnsi="Arial" w:cs="Arial"/>
          <w:sz w:val="24"/>
          <w:szCs w:val="24"/>
        </w:rPr>
        <w:t>normativamente,</w:t>
      </w:r>
      <w:r w:rsidR="00621BD6">
        <w:rPr>
          <w:rFonts w:ascii="Arial" w:hAnsi="Arial" w:cs="Arial"/>
          <w:sz w:val="24"/>
          <w:szCs w:val="24"/>
        </w:rPr>
        <w:t xml:space="preserve"> </w:t>
      </w:r>
      <w:r w:rsidRPr="00621BD6">
        <w:rPr>
          <w:rFonts w:ascii="Arial" w:hAnsi="Arial" w:cs="Arial"/>
          <w:sz w:val="24"/>
          <w:szCs w:val="24"/>
        </w:rPr>
        <w:t>se</w:t>
      </w:r>
      <w:r w:rsidR="00621BD6">
        <w:rPr>
          <w:rFonts w:ascii="Arial" w:hAnsi="Arial" w:cs="Arial"/>
          <w:sz w:val="24"/>
          <w:szCs w:val="24"/>
        </w:rPr>
        <w:t xml:space="preserve"> </w:t>
      </w:r>
      <w:r w:rsidRPr="00621BD6">
        <w:rPr>
          <w:rFonts w:ascii="Arial" w:hAnsi="Arial" w:cs="Arial"/>
          <w:sz w:val="24"/>
          <w:szCs w:val="24"/>
        </w:rPr>
        <w:t>ha diferenciado la autorización de venta garantizada y la autorización de la libre disponibilidad de los lotes resultantes de la habilitación, ya que en el primero se permite la venta del lote de parte del urbanizador a favor de tercera persona y la eventual cesión de posición contractual de este último a favor de otras, las cuales sólo pueden ser objeto de anotaciones</w:t>
      </w:r>
      <w:r w:rsidR="00621BD6">
        <w:rPr>
          <w:rFonts w:ascii="Arial" w:hAnsi="Arial" w:cs="Arial"/>
          <w:sz w:val="24"/>
          <w:szCs w:val="24"/>
        </w:rPr>
        <w:t xml:space="preserve"> </w:t>
      </w:r>
      <w:r w:rsidRPr="00621BD6">
        <w:rPr>
          <w:rFonts w:ascii="Arial" w:hAnsi="Arial" w:cs="Arial"/>
          <w:sz w:val="24"/>
          <w:szCs w:val="24"/>
        </w:rPr>
        <w:t>preventivas; en tanto que, en la segunda se permite la venta del lote de parte del urbanizador a favor de tercera persona y las sucesivas ventas de éste a favor de otras, las que podrían ser objeto de inscripciones definitivas.</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En el mismo sentido, se establece en el numeral 32.5 del Reglamento de Licencias de Habilitación Urbana y Licencias de Edificación. (D.</w:t>
      </w:r>
      <w:r w:rsidR="00894392">
        <w:rPr>
          <w:rFonts w:ascii="Arial" w:hAnsi="Arial" w:cs="Arial"/>
          <w:sz w:val="24"/>
          <w:szCs w:val="24"/>
        </w:rPr>
        <w:t xml:space="preserve"> </w:t>
      </w:r>
      <w:r w:rsidRPr="00621BD6">
        <w:rPr>
          <w:rFonts w:ascii="Arial" w:hAnsi="Arial" w:cs="Arial"/>
          <w:sz w:val="24"/>
          <w:szCs w:val="24"/>
        </w:rPr>
        <w:t>S. N</w:t>
      </w:r>
      <w:r w:rsidR="00894392">
        <w:rPr>
          <w:rFonts w:ascii="Arial" w:hAnsi="Arial" w:cs="Arial"/>
          <w:sz w:val="24"/>
          <w:szCs w:val="24"/>
        </w:rPr>
        <w:t>.</w:t>
      </w:r>
      <w:r w:rsidRPr="00621BD6">
        <w:rPr>
          <w:rFonts w:ascii="Arial" w:hAnsi="Arial" w:cs="Arial"/>
          <w:sz w:val="24"/>
          <w:szCs w:val="24"/>
        </w:rPr>
        <w:t>° 011-2017-</w:t>
      </w:r>
      <w:r w:rsidR="00894392" w:rsidRPr="00621BD6">
        <w:rPr>
          <w:rFonts w:ascii="Arial" w:hAnsi="Arial" w:cs="Arial"/>
          <w:sz w:val="24"/>
          <w:szCs w:val="24"/>
        </w:rPr>
        <w:t>Vivienda</w:t>
      </w:r>
      <w:r w:rsidRPr="00621BD6">
        <w:rPr>
          <w:rFonts w:ascii="Arial" w:hAnsi="Arial" w:cs="Arial"/>
          <w:sz w:val="24"/>
          <w:szCs w:val="24"/>
        </w:rPr>
        <w:t xml:space="preserve">), que señala textualmente: </w:t>
      </w:r>
      <w:r w:rsidR="00894392">
        <w:rPr>
          <w:rFonts w:ascii="Arial" w:hAnsi="Arial" w:cs="Arial"/>
          <w:sz w:val="24"/>
        </w:rPr>
        <w:t>"</w:t>
      </w:r>
      <w:r w:rsidRPr="00621BD6">
        <w:rPr>
          <w:rFonts w:ascii="Arial" w:hAnsi="Arial" w:cs="Arial"/>
          <w:sz w:val="24"/>
        </w:rPr>
        <w:t>32.5 Conforme a lo establecido</w:t>
      </w:r>
      <w:r w:rsidR="00621BD6">
        <w:rPr>
          <w:rFonts w:ascii="Arial" w:hAnsi="Arial" w:cs="Arial"/>
          <w:sz w:val="24"/>
        </w:rPr>
        <w:t xml:space="preserve"> </w:t>
      </w:r>
      <w:r w:rsidRPr="00621BD6">
        <w:rPr>
          <w:rFonts w:ascii="Arial" w:hAnsi="Arial" w:cs="Arial"/>
          <w:sz w:val="24"/>
        </w:rPr>
        <w:t>en</w:t>
      </w:r>
      <w:r w:rsidR="00621BD6">
        <w:rPr>
          <w:rFonts w:ascii="Arial" w:hAnsi="Arial" w:cs="Arial"/>
          <w:sz w:val="24"/>
        </w:rPr>
        <w:t xml:space="preserve"> </w:t>
      </w:r>
      <w:r w:rsidRPr="00621BD6">
        <w:rPr>
          <w:rFonts w:ascii="Arial" w:hAnsi="Arial" w:cs="Arial"/>
          <w:sz w:val="24"/>
        </w:rPr>
        <w:t>el</w:t>
      </w:r>
      <w:r w:rsidR="00621BD6">
        <w:rPr>
          <w:rFonts w:ascii="Arial" w:hAnsi="Arial" w:cs="Arial"/>
          <w:sz w:val="24"/>
        </w:rPr>
        <w:t xml:space="preserve"> </w:t>
      </w:r>
      <w:r w:rsidRPr="00621BD6">
        <w:rPr>
          <w:rFonts w:ascii="Arial" w:hAnsi="Arial" w:cs="Arial"/>
          <w:sz w:val="24"/>
        </w:rPr>
        <w:t>artículo</w:t>
      </w:r>
      <w:r w:rsidR="00621BD6">
        <w:rPr>
          <w:rFonts w:ascii="Arial" w:hAnsi="Arial" w:cs="Arial"/>
          <w:sz w:val="24"/>
        </w:rPr>
        <w:t xml:space="preserve"> </w:t>
      </w:r>
      <w:r w:rsidRPr="00621BD6">
        <w:rPr>
          <w:rFonts w:ascii="Arial" w:hAnsi="Arial" w:cs="Arial"/>
          <w:sz w:val="24"/>
        </w:rPr>
        <w:t>20</w:t>
      </w:r>
      <w:r w:rsidR="00621BD6">
        <w:rPr>
          <w:rFonts w:ascii="Arial" w:hAnsi="Arial" w:cs="Arial"/>
          <w:sz w:val="24"/>
        </w:rPr>
        <w:t xml:space="preserve"> </w:t>
      </w:r>
      <w:r w:rsidRPr="00621BD6">
        <w:rPr>
          <w:rFonts w:ascii="Arial" w:hAnsi="Arial" w:cs="Arial"/>
          <w:sz w:val="24"/>
        </w:rPr>
        <w:t>de</w:t>
      </w:r>
      <w:r w:rsidR="00621BD6">
        <w:rPr>
          <w:rFonts w:ascii="Arial" w:hAnsi="Arial" w:cs="Arial"/>
          <w:sz w:val="24"/>
        </w:rPr>
        <w:t xml:space="preserve"> </w:t>
      </w:r>
      <w:r w:rsidRPr="00621BD6">
        <w:rPr>
          <w:rFonts w:ascii="Arial" w:hAnsi="Arial" w:cs="Arial"/>
          <w:sz w:val="24"/>
        </w:rPr>
        <w:t>la</w:t>
      </w:r>
      <w:r w:rsidR="00621BD6">
        <w:rPr>
          <w:rFonts w:ascii="Arial" w:hAnsi="Arial" w:cs="Arial"/>
          <w:sz w:val="24"/>
        </w:rPr>
        <w:t xml:space="preserve"> </w:t>
      </w:r>
      <w:r w:rsidRPr="00621BD6">
        <w:rPr>
          <w:rFonts w:ascii="Arial" w:hAnsi="Arial" w:cs="Arial"/>
          <w:sz w:val="24"/>
        </w:rPr>
        <w:t>ley,</w:t>
      </w:r>
      <w:r w:rsidR="00621BD6">
        <w:rPr>
          <w:rFonts w:ascii="Arial" w:hAnsi="Arial" w:cs="Arial"/>
          <w:sz w:val="24"/>
        </w:rPr>
        <w:t xml:space="preserve"> </w:t>
      </w:r>
      <w:r w:rsidRPr="00621BD6">
        <w:rPr>
          <w:rFonts w:ascii="Arial" w:hAnsi="Arial" w:cs="Arial"/>
          <w:sz w:val="24"/>
        </w:rPr>
        <w:t>la</w:t>
      </w:r>
      <w:r w:rsidR="00621BD6">
        <w:rPr>
          <w:rFonts w:ascii="Arial" w:hAnsi="Arial" w:cs="Arial"/>
          <w:sz w:val="24"/>
        </w:rPr>
        <w:t xml:space="preserve"> </w:t>
      </w:r>
      <w:r w:rsidRPr="00621BD6">
        <w:rPr>
          <w:rFonts w:ascii="Arial" w:hAnsi="Arial" w:cs="Arial"/>
          <w:sz w:val="24"/>
        </w:rPr>
        <w:t>inscripción</w:t>
      </w:r>
      <w:r w:rsidR="00621BD6">
        <w:rPr>
          <w:rFonts w:ascii="Arial" w:hAnsi="Arial" w:cs="Arial"/>
          <w:sz w:val="24"/>
        </w:rPr>
        <w:t xml:space="preserve"> </w:t>
      </w:r>
      <w:r w:rsidRPr="00621BD6">
        <w:rPr>
          <w:rFonts w:ascii="Arial" w:hAnsi="Arial" w:cs="Arial"/>
          <w:sz w:val="24"/>
        </w:rPr>
        <w:t>registral</w:t>
      </w:r>
      <w:r w:rsidR="00621BD6">
        <w:rPr>
          <w:rFonts w:ascii="Arial" w:hAnsi="Arial" w:cs="Arial"/>
          <w:sz w:val="24"/>
        </w:rPr>
        <w:t xml:space="preserve"> </w:t>
      </w:r>
      <w:r w:rsidRPr="00621BD6">
        <w:rPr>
          <w:rFonts w:ascii="Arial" w:hAnsi="Arial" w:cs="Arial"/>
          <w:sz w:val="24"/>
        </w:rPr>
        <w:t>de</w:t>
      </w:r>
      <w:r w:rsidR="00621BD6">
        <w:rPr>
          <w:rFonts w:ascii="Arial" w:hAnsi="Arial" w:cs="Arial"/>
          <w:sz w:val="24"/>
        </w:rPr>
        <w:t xml:space="preserve"> </w:t>
      </w:r>
      <w:r w:rsidRPr="00621BD6">
        <w:rPr>
          <w:rFonts w:ascii="Arial" w:hAnsi="Arial" w:cs="Arial"/>
          <w:sz w:val="24"/>
        </w:rPr>
        <w:t>las habilitaciones urbanas se realiza con posterioridad al otorgamiento de la recepción</w:t>
      </w:r>
      <w:r w:rsidR="00621BD6">
        <w:rPr>
          <w:rFonts w:ascii="Arial" w:hAnsi="Arial" w:cs="Arial"/>
          <w:sz w:val="24"/>
        </w:rPr>
        <w:t xml:space="preserve"> </w:t>
      </w:r>
      <w:r w:rsidRPr="00621BD6">
        <w:rPr>
          <w:rFonts w:ascii="Arial" w:hAnsi="Arial" w:cs="Arial"/>
          <w:sz w:val="24"/>
        </w:rPr>
        <w:t>de</w:t>
      </w:r>
      <w:r w:rsidR="00621BD6">
        <w:rPr>
          <w:rFonts w:ascii="Arial" w:hAnsi="Arial" w:cs="Arial"/>
          <w:sz w:val="24"/>
        </w:rPr>
        <w:t xml:space="preserve"> </w:t>
      </w:r>
      <w:r w:rsidRPr="00621BD6">
        <w:rPr>
          <w:rFonts w:ascii="Arial" w:hAnsi="Arial" w:cs="Arial"/>
          <w:sz w:val="24"/>
        </w:rPr>
        <w:t>obras,</w:t>
      </w:r>
      <w:r w:rsidR="00621BD6">
        <w:rPr>
          <w:rFonts w:ascii="Arial" w:hAnsi="Arial" w:cs="Arial"/>
          <w:sz w:val="24"/>
        </w:rPr>
        <w:t xml:space="preserve"> </w:t>
      </w:r>
      <w:r w:rsidRPr="00621BD6">
        <w:rPr>
          <w:rFonts w:ascii="Arial" w:hAnsi="Arial" w:cs="Arial"/>
          <w:sz w:val="24"/>
        </w:rPr>
        <w:t>con</w:t>
      </w:r>
      <w:r w:rsidR="00621BD6">
        <w:rPr>
          <w:rFonts w:ascii="Arial" w:hAnsi="Arial" w:cs="Arial"/>
          <w:sz w:val="24"/>
        </w:rPr>
        <w:t xml:space="preserve"> </w:t>
      </w:r>
      <w:r w:rsidRPr="00621BD6">
        <w:rPr>
          <w:rFonts w:ascii="Arial" w:hAnsi="Arial" w:cs="Arial"/>
          <w:sz w:val="24"/>
        </w:rPr>
        <w:t>excepción</w:t>
      </w:r>
      <w:r w:rsidR="00621BD6">
        <w:rPr>
          <w:rFonts w:ascii="Arial" w:hAnsi="Arial" w:cs="Arial"/>
          <w:sz w:val="24"/>
        </w:rPr>
        <w:t xml:space="preserve"> </w:t>
      </w:r>
      <w:r w:rsidRPr="00621BD6">
        <w:rPr>
          <w:rFonts w:ascii="Arial" w:hAnsi="Arial" w:cs="Arial"/>
          <w:sz w:val="24"/>
        </w:rPr>
        <w:t>de</w:t>
      </w:r>
      <w:r w:rsidR="00621BD6">
        <w:rPr>
          <w:rFonts w:ascii="Arial" w:hAnsi="Arial" w:cs="Arial"/>
          <w:sz w:val="24"/>
        </w:rPr>
        <w:t xml:space="preserve"> </w:t>
      </w:r>
      <w:r w:rsidRPr="00621BD6">
        <w:rPr>
          <w:rFonts w:ascii="Arial" w:hAnsi="Arial" w:cs="Arial"/>
          <w:sz w:val="24"/>
        </w:rPr>
        <w:t>las</w:t>
      </w:r>
      <w:r w:rsidR="00621BD6">
        <w:rPr>
          <w:rFonts w:ascii="Arial" w:hAnsi="Arial" w:cs="Arial"/>
          <w:sz w:val="24"/>
        </w:rPr>
        <w:t xml:space="preserve"> </w:t>
      </w:r>
      <w:r w:rsidRPr="00621BD6">
        <w:rPr>
          <w:rFonts w:ascii="Arial" w:hAnsi="Arial" w:cs="Arial"/>
          <w:sz w:val="24"/>
        </w:rPr>
        <w:t>habilitaciones</w:t>
      </w:r>
      <w:r w:rsidR="00621BD6">
        <w:rPr>
          <w:rFonts w:ascii="Arial" w:hAnsi="Arial" w:cs="Arial"/>
          <w:sz w:val="24"/>
        </w:rPr>
        <w:t xml:space="preserve"> </w:t>
      </w:r>
      <w:r w:rsidRPr="00621BD6">
        <w:rPr>
          <w:rFonts w:ascii="Arial" w:hAnsi="Arial" w:cs="Arial"/>
          <w:sz w:val="24"/>
        </w:rPr>
        <w:t>urbanas</w:t>
      </w:r>
      <w:r w:rsidR="00621BD6">
        <w:rPr>
          <w:rFonts w:ascii="Arial" w:hAnsi="Arial" w:cs="Arial"/>
          <w:sz w:val="24"/>
        </w:rPr>
        <w:t xml:space="preserve"> </w:t>
      </w:r>
      <w:r w:rsidRPr="00621BD6">
        <w:rPr>
          <w:rFonts w:ascii="Arial" w:hAnsi="Arial" w:cs="Arial"/>
          <w:sz w:val="24"/>
        </w:rPr>
        <w:t xml:space="preserve">con construcción simultánea y venta garantizada de lotes, en la que luego de obtenida la licencia de edificación se realiza la anotación preventiva de la pre declaratoria y la pre independización. La inscripción registral de este proyecto de habilitación urbana con construcción simultánea y venta garantizada de lotes, no autoriza la venta solo de los lotes, inscribiéndose esta restricción en la partida registral. El </w:t>
      </w:r>
      <w:r w:rsidR="00894392" w:rsidRPr="00621BD6">
        <w:rPr>
          <w:rFonts w:ascii="Arial" w:hAnsi="Arial" w:cs="Arial"/>
          <w:sz w:val="24"/>
        </w:rPr>
        <w:t xml:space="preserve">registrador </w:t>
      </w:r>
      <w:r w:rsidR="00894392" w:rsidRPr="00621BD6">
        <w:rPr>
          <w:rFonts w:ascii="Arial" w:hAnsi="Arial" w:cs="Arial"/>
          <w:sz w:val="24"/>
        </w:rPr>
        <w:lastRenderedPageBreak/>
        <w:t>pú</w:t>
      </w:r>
      <w:r w:rsidRPr="00621BD6">
        <w:rPr>
          <w:rFonts w:ascii="Arial" w:hAnsi="Arial" w:cs="Arial"/>
          <w:sz w:val="24"/>
        </w:rPr>
        <w:t>blico no puede exigir mayores requisitos a los previstos en la ley y el reglamento</w:t>
      </w:r>
      <w:r w:rsidR="00894392">
        <w:rPr>
          <w:rFonts w:ascii="Arial" w:hAnsi="Arial" w:cs="Arial"/>
          <w:sz w:val="24"/>
        </w:rPr>
        <w:t>"</w:t>
      </w:r>
      <w:r w:rsidRPr="00621BD6">
        <w:rPr>
          <w:rFonts w:ascii="Arial" w:hAnsi="Arial" w:cs="Arial"/>
          <w:sz w:val="24"/>
          <w:szCs w:val="24"/>
        </w:rPr>
        <w:t>.</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Como bien lo ha afirmado el Tribunal Registral las ventas garantizadas</w:t>
      </w:r>
      <w:r w:rsidR="00894392">
        <w:rPr>
          <w:rFonts w:ascii="Arial" w:hAnsi="Arial" w:cs="Arial"/>
          <w:sz w:val="24"/>
          <w:szCs w:val="24"/>
        </w:rPr>
        <w:t xml:space="preserve"> </w:t>
      </w:r>
      <w:r w:rsidRPr="00621BD6">
        <w:rPr>
          <w:rFonts w:ascii="Arial" w:hAnsi="Arial" w:cs="Arial"/>
          <w:sz w:val="24"/>
          <w:szCs w:val="24"/>
        </w:rPr>
        <w:t>son en realidad compraventas que forman parte de la habilitación y que tienen la garantía que haya prestado el propietario de la misma para que se cumplan las obras de habilitación. Esta figura lo que permite es la venta de los terrenos resultantes de la habilitación antes de que se concluyan las obras de la misma (en el procedimiento regular sólo con la</w:t>
      </w:r>
      <w:r w:rsidR="00621BD6">
        <w:rPr>
          <w:rFonts w:ascii="Arial" w:hAnsi="Arial" w:cs="Arial"/>
          <w:sz w:val="24"/>
          <w:szCs w:val="24"/>
        </w:rPr>
        <w:t xml:space="preserve"> </w:t>
      </w:r>
      <w:r w:rsidRPr="00621BD6">
        <w:rPr>
          <w:rFonts w:ascii="Arial" w:hAnsi="Arial" w:cs="Arial"/>
          <w:sz w:val="24"/>
          <w:szCs w:val="24"/>
        </w:rPr>
        <w:t>recepción</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obras</w:t>
      </w:r>
      <w:r w:rsidR="00621BD6">
        <w:rPr>
          <w:rFonts w:ascii="Arial" w:hAnsi="Arial" w:cs="Arial"/>
          <w:sz w:val="24"/>
          <w:szCs w:val="24"/>
        </w:rPr>
        <w:t xml:space="preserve"> </w:t>
      </w:r>
      <w:r w:rsidRPr="00621BD6">
        <w:rPr>
          <w:rFonts w:ascii="Arial" w:hAnsi="Arial" w:cs="Arial"/>
          <w:sz w:val="24"/>
          <w:szCs w:val="24"/>
        </w:rPr>
        <w:t>se</w:t>
      </w:r>
      <w:r w:rsidR="00621BD6">
        <w:rPr>
          <w:rFonts w:ascii="Arial" w:hAnsi="Arial" w:cs="Arial"/>
          <w:sz w:val="24"/>
          <w:szCs w:val="24"/>
        </w:rPr>
        <w:t xml:space="preserve"> </w:t>
      </w:r>
      <w:r w:rsidRPr="00621BD6">
        <w:rPr>
          <w:rFonts w:ascii="Arial" w:hAnsi="Arial" w:cs="Arial"/>
          <w:sz w:val="24"/>
          <w:szCs w:val="24"/>
        </w:rPr>
        <w:t>autoriza</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transferencia</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los</w:t>
      </w:r>
      <w:r w:rsidR="00621BD6">
        <w:rPr>
          <w:rFonts w:ascii="Arial" w:hAnsi="Arial" w:cs="Arial"/>
          <w:sz w:val="24"/>
          <w:szCs w:val="24"/>
        </w:rPr>
        <w:t xml:space="preserve"> </w:t>
      </w:r>
      <w:r w:rsidRPr="00621BD6">
        <w:rPr>
          <w:rFonts w:ascii="Arial" w:hAnsi="Arial" w:cs="Arial"/>
          <w:sz w:val="24"/>
          <w:szCs w:val="24"/>
        </w:rPr>
        <w:t>lotes resultantes) de tal manera que el habilitador pueda enajenarlos y con los ingresos que de ello obtenga pueda financiar el cumplimiento de las obras de habilitación.</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En las habilitaciones urbanas que aún no cuentan con recepción de obras,</w:t>
      </w:r>
      <w:r w:rsidR="00621BD6">
        <w:rPr>
          <w:rFonts w:ascii="Arial" w:hAnsi="Arial" w:cs="Arial"/>
          <w:sz w:val="24"/>
          <w:szCs w:val="24"/>
        </w:rPr>
        <w:t xml:space="preserve"> </w:t>
      </w:r>
      <w:r w:rsidRPr="00621BD6">
        <w:rPr>
          <w:rFonts w:ascii="Arial" w:hAnsi="Arial" w:cs="Arial"/>
          <w:sz w:val="24"/>
          <w:szCs w:val="24"/>
        </w:rPr>
        <w:t>y</w:t>
      </w:r>
      <w:r w:rsidR="00621BD6">
        <w:rPr>
          <w:rFonts w:ascii="Arial" w:hAnsi="Arial" w:cs="Arial"/>
          <w:sz w:val="24"/>
          <w:szCs w:val="24"/>
        </w:rPr>
        <w:t xml:space="preserve"> </w:t>
      </w:r>
      <w:r w:rsidRPr="00621BD6">
        <w:rPr>
          <w:rFonts w:ascii="Arial" w:hAnsi="Arial" w:cs="Arial"/>
          <w:sz w:val="24"/>
          <w:szCs w:val="24"/>
        </w:rPr>
        <w:t>tienen</w:t>
      </w:r>
      <w:r w:rsidR="00621BD6">
        <w:rPr>
          <w:rFonts w:ascii="Arial" w:hAnsi="Arial" w:cs="Arial"/>
          <w:sz w:val="24"/>
          <w:szCs w:val="24"/>
        </w:rPr>
        <w:t xml:space="preserve"> </w:t>
      </w:r>
      <w:r w:rsidRPr="00621BD6">
        <w:rPr>
          <w:rFonts w:ascii="Arial" w:hAnsi="Arial" w:cs="Arial"/>
          <w:sz w:val="24"/>
          <w:szCs w:val="24"/>
        </w:rPr>
        <w:t>autorización</w:t>
      </w:r>
      <w:r w:rsidR="00621BD6">
        <w:rPr>
          <w:rFonts w:ascii="Arial" w:hAnsi="Arial" w:cs="Arial"/>
          <w:sz w:val="24"/>
          <w:szCs w:val="24"/>
        </w:rPr>
        <w:t xml:space="preserve"> </w:t>
      </w:r>
      <w:r w:rsidRPr="00621BD6">
        <w:rPr>
          <w:rFonts w:ascii="Arial" w:hAnsi="Arial" w:cs="Arial"/>
          <w:sz w:val="24"/>
          <w:szCs w:val="24"/>
        </w:rPr>
        <w:t>para</w:t>
      </w:r>
      <w:r w:rsidR="00621BD6">
        <w:rPr>
          <w:rFonts w:ascii="Arial" w:hAnsi="Arial" w:cs="Arial"/>
          <w:sz w:val="24"/>
          <w:szCs w:val="24"/>
        </w:rPr>
        <w:t xml:space="preserve"> </w:t>
      </w:r>
      <w:r w:rsidRPr="00621BD6">
        <w:rPr>
          <w:rFonts w:ascii="Arial" w:hAnsi="Arial" w:cs="Arial"/>
          <w:sz w:val="24"/>
          <w:szCs w:val="24"/>
        </w:rPr>
        <w:t>efectuar</w:t>
      </w:r>
      <w:r w:rsidR="00621BD6">
        <w:rPr>
          <w:rFonts w:ascii="Arial" w:hAnsi="Arial" w:cs="Arial"/>
          <w:sz w:val="24"/>
          <w:szCs w:val="24"/>
        </w:rPr>
        <w:t xml:space="preserve"> </w:t>
      </w:r>
      <w:r w:rsidRPr="00621BD6">
        <w:rPr>
          <w:rFonts w:ascii="Arial" w:hAnsi="Arial" w:cs="Arial"/>
          <w:sz w:val="24"/>
          <w:szCs w:val="24"/>
        </w:rPr>
        <w:t>ventas</w:t>
      </w:r>
      <w:r w:rsidR="00621BD6">
        <w:rPr>
          <w:rFonts w:ascii="Arial" w:hAnsi="Arial" w:cs="Arial"/>
          <w:sz w:val="24"/>
          <w:szCs w:val="24"/>
        </w:rPr>
        <w:t xml:space="preserve"> </w:t>
      </w:r>
      <w:r w:rsidRPr="00621BD6">
        <w:rPr>
          <w:rFonts w:ascii="Arial" w:hAnsi="Arial" w:cs="Arial"/>
          <w:sz w:val="24"/>
          <w:szCs w:val="24"/>
        </w:rPr>
        <w:t>garantizadas, procederá la anotación preventiva de la compraventa garantizada, no siendo admisible la inscripción de transferencias posteriores a ella. Decisión sustentada en lo dispuesto en el artículo 39 del Reglamento de Inscripciones del Registro de Predios que prevé que como único acto posterior admisible es la cesión de posición contractual; toda vez que, el comprador en la compraventa garantizada no se convierte en propietario sino hasta la recepción de las obras finales; y en esa misma línea a lo dicho por el artículo 21 de la Ley 29090 que en sus cuatro tipos de habilitaciones urbanas se permite la venta garantizada, tal y como obra inscrito en el registro (asiento 1).</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En</w:t>
      </w:r>
      <w:r w:rsidR="00621BD6">
        <w:rPr>
          <w:rFonts w:ascii="Arial" w:hAnsi="Arial" w:cs="Arial"/>
          <w:sz w:val="24"/>
          <w:szCs w:val="24"/>
        </w:rPr>
        <w:t xml:space="preserve"> </w:t>
      </w:r>
      <w:r w:rsidRPr="00621BD6">
        <w:rPr>
          <w:rFonts w:ascii="Arial" w:hAnsi="Arial" w:cs="Arial"/>
          <w:sz w:val="24"/>
          <w:szCs w:val="24"/>
        </w:rPr>
        <w:t>este</w:t>
      </w:r>
      <w:r w:rsidR="00621BD6">
        <w:rPr>
          <w:rFonts w:ascii="Arial" w:hAnsi="Arial" w:cs="Arial"/>
          <w:sz w:val="24"/>
          <w:szCs w:val="24"/>
        </w:rPr>
        <w:t xml:space="preserve"> </w:t>
      </w:r>
      <w:r w:rsidRPr="00621BD6">
        <w:rPr>
          <w:rFonts w:ascii="Arial" w:hAnsi="Arial" w:cs="Arial"/>
          <w:sz w:val="24"/>
          <w:szCs w:val="24"/>
        </w:rPr>
        <w:t>extremo</w:t>
      </w:r>
      <w:r w:rsidR="00621BD6">
        <w:rPr>
          <w:rFonts w:ascii="Arial" w:hAnsi="Arial" w:cs="Arial"/>
          <w:sz w:val="24"/>
          <w:szCs w:val="24"/>
        </w:rPr>
        <w:t xml:space="preserve"> </w:t>
      </w:r>
      <w:r w:rsidRPr="00621BD6">
        <w:rPr>
          <w:rFonts w:ascii="Arial" w:hAnsi="Arial" w:cs="Arial"/>
          <w:sz w:val="24"/>
          <w:szCs w:val="24"/>
        </w:rPr>
        <w:t>ha</w:t>
      </w:r>
      <w:r w:rsidR="00621BD6">
        <w:rPr>
          <w:rFonts w:ascii="Arial" w:hAnsi="Arial" w:cs="Arial"/>
          <w:sz w:val="24"/>
          <w:szCs w:val="24"/>
        </w:rPr>
        <w:t xml:space="preserve"> </w:t>
      </w:r>
      <w:r w:rsidRPr="00621BD6">
        <w:rPr>
          <w:rFonts w:ascii="Arial" w:hAnsi="Arial" w:cs="Arial"/>
          <w:sz w:val="24"/>
          <w:szCs w:val="24"/>
        </w:rPr>
        <w:t>quedado</w:t>
      </w:r>
      <w:r w:rsidR="00621BD6">
        <w:rPr>
          <w:rFonts w:ascii="Arial" w:hAnsi="Arial" w:cs="Arial"/>
          <w:sz w:val="24"/>
          <w:szCs w:val="24"/>
        </w:rPr>
        <w:t xml:space="preserve"> </w:t>
      </w:r>
      <w:r w:rsidRPr="00621BD6">
        <w:rPr>
          <w:rFonts w:ascii="Arial" w:hAnsi="Arial" w:cs="Arial"/>
          <w:sz w:val="24"/>
          <w:szCs w:val="24"/>
        </w:rPr>
        <w:t>sin</w:t>
      </w:r>
      <w:r w:rsidR="00621BD6">
        <w:rPr>
          <w:rFonts w:ascii="Arial" w:hAnsi="Arial" w:cs="Arial"/>
          <w:sz w:val="24"/>
          <w:szCs w:val="24"/>
        </w:rPr>
        <w:t xml:space="preserve"> </w:t>
      </w:r>
      <w:r w:rsidRPr="00621BD6">
        <w:rPr>
          <w:rFonts w:ascii="Arial" w:hAnsi="Arial" w:cs="Arial"/>
          <w:sz w:val="24"/>
          <w:szCs w:val="24"/>
        </w:rPr>
        <w:t>efecto</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observación</w:t>
      </w:r>
      <w:r w:rsidR="00621BD6">
        <w:rPr>
          <w:rFonts w:ascii="Arial" w:hAnsi="Arial" w:cs="Arial"/>
          <w:sz w:val="24"/>
          <w:szCs w:val="24"/>
        </w:rPr>
        <w:t xml:space="preserve"> </w:t>
      </w:r>
      <w:r w:rsidRPr="00621BD6">
        <w:rPr>
          <w:rFonts w:ascii="Arial" w:hAnsi="Arial" w:cs="Arial"/>
          <w:sz w:val="24"/>
          <w:szCs w:val="24"/>
        </w:rPr>
        <w:t>recaída, precisando que las normas citadas permiten las transferencias como la venta</w:t>
      </w:r>
      <w:r w:rsidR="00621BD6">
        <w:rPr>
          <w:rFonts w:ascii="Arial" w:hAnsi="Arial" w:cs="Arial"/>
          <w:sz w:val="24"/>
          <w:szCs w:val="24"/>
        </w:rPr>
        <w:t xml:space="preserve"> </w:t>
      </w:r>
      <w:r w:rsidRPr="00621BD6">
        <w:rPr>
          <w:rFonts w:ascii="Arial" w:hAnsi="Arial" w:cs="Arial"/>
          <w:sz w:val="24"/>
          <w:szCs w:val="24"/>
        </w:rPr>
        <w:t>garantizada cumpliendo el acto que se pretende inscribir con todos los requisitos para su anotación.</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Con respecto a que la pre independización ha caducado, debemos señalar que el mismo se encuentra regulado por el artículo 33 del actual Reglamento</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Licencias</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Habilitación</w:t>
      </w:r>
      <w:r w:rsidR="00621BD6">
        <w:rPr>
          <w:rFonts w:ascii="Arial" w:hAnsi="Arial" w:cs="Arial"/>
          <w:sz w:val="24"/>
          <w:szCs w:val="24"/>
        </w:rPr>
        <w:t xml:space="preserve"> </w:t>
      </w:r>
      <w:r w:rsidRPr="00621BD6">
        <w:rPr>
          <w:rFonts w:ascii="Arial" w:hAnsi="Arial" w:cs="Arial"/>
          <w:sz w:val="24"/>
          <w:szCs w:val="24"/>
        </w:rPr>
        <w:t>Urbana</w:t>
      </w:r>
      <w:r w:rsidR="00621BD6">
        <w:rPr>
          <w:rFonts w:ascii="Arial" w:hAnsi="Arial" w:cs="Arial"/>
          <w:sz w:val="24"/>
          <w:szCs w:val="24"/>
        </w:rPr>
        <w:t xml:space="preserve"> </w:t>
      </w:r>
      <w:r w:rsidRPr="00621BD6">
        <w:rPr>
          <w:rFonts w:ascii="Arial" w:hAnsi="Arial" w:cs="Arial"/>
          <w:sz w:val="24"/>
          <w:szCs w:val="24"/>
        </w:rPr>
        <w:t>y</w:t>
      </w:r>
      <w:r w:rsidR="00621BD6">
        <w:rPr>
          <w:rFonts w:ascii="Arial" w:hAnsi="Arial" w:cs="Arial"/>
          <w:sz w:val="24"/>
          <w:szCs w:val="24"/>
        </w:rPr>
        <w:t xml:space="preserve"> </w:t>
      </w:r>
      <w:r w:rsidRPr="00621BD6">
        <w:rPr>
          <w:rFonts w:ascii="Arial" w:hAnsi="Arial" w:cs="Arial"/>
          <w:sz w:val="24"/>
          <w:szCs w:val="24"/>
        </w:rPr>
        <w:t>Licencias</w:t>
      </w:r>
      <w:r w:rsidR="00621BD6">
        <w:rPr>
          <w:rFonts w:ascii="Arial" w:hAnsi="Arial" w:cs="Arial"/>
          <w:sz w:val="24"/>
          <w:szCs w:val="24"/>
        </w:rPr>
        <w:t xml:space="preserve"> </w:t>
      </w:r>
      <w:r w:rsidRPr="00621BD6">
        <w:rPr>
          <w:rFonts w:ascii="Arial" w:hAnsi="Arial" w:cs="Arial"/>
          <w:sz w:val="24"/>
          <w:szCs w:val="24"/>
        </w:rPr>
        <w:t>de Edificación,</w:t>
      </w:r>
      <w:r w:rsidR="00621BD6">
        <w:rPr>
          <w:rFonts w:ascii="Arial" w:hAnsi="Arial" w:cs="Arial"/>
          <w:sz w:val="24"/>
          <w:szCs w:val="24"/>
        </w:rPr>
        <w:t xml:space="preserve"> </w:t>
      </w:r>
      <w:r w:rsidRPr="00621BD6">
        <w:rPr>
          <w:rFonts w:ascii="Arial" w:hAnsi="Arial" w:cs="Arial"/>
          <w:sz w:val="24"/>
          <w:szCs w:val="24"/>
        </w:rPr>
        <w:t>aprobado</w:t>
      </w:r>
      <w:r w:rsidR="00621BD6">
        <w:rPr>
          <w:rFonts w:ascii="Arial" w:hAnsi="Arial" w:cs="Arial"/>
          <w:sz w:val="24"/>
          <w:szCs w:val="24"/>
        </w:rPr>
        <w:t xml:space="preserve"> </w:t>
      </w:r>
      <w:r w:rsidRPr="00621BD6">
        <w:rPr>
          <w:rFonts w:ascii="Arial" w:hAnsi="Arial" w:cs="Arial"/>
          <w:sz w:val="24"/>
          <w:szCs w:val="24"/>
        </w:rPr>
        <w:t>mediante</w:t>
      </w:r>
      <w:r w:rsidR="00621BD6">
        <w:rPr>
          <w:rFonts w:ascii="Arial" w:hAnsi="Arial" w:cs="Arial"/>
          <w:sz w:val="24"/>
          <w:szCs w:val="24"/>
        </w:rPr>
        <w:t xml:space="preserve"> </w:t>
      </w:r>
      <w:r w:rsidRPr="00621BD6">
        <w:rPr>
          <w:rFonts w:ascii="Arial" w:hAnsi="Arial" w:cs="Arial"/>
          <w:sz w:val="24"/>
          <w:szCs w:val="24"/>
        </w:rPr>
        <w:t>Decreto</w:t>
      </w:r>
      <w:r w:rsidR="00621BD6">
        <w:rPr>
          <w:rFonts w:ascii="Arial" w:hAnsi="Arial" w:cs="Arial"/>
          <w:sz w:val="24"/>
          <w:szCs w:val="24"/>
        </w:rPr>
        <w:t xml:space="preserve"> </w:t>
      </w:r>
      <w:r w:rsidRPr="00621BD6">
        <w:rPr>
          <w:rFonts w:ascii="Arial" w:hAnsi="Arial" w:cs="Arial"/>
          <w:sz w:val="24"/>
          <w:szCs w:val="24"/>
        </w:rPr>
        <w:t>Supremo</w:t>
      </w:r>
      <w:r w:rsidR="00621BD6">
        <w:rPr>
          <w:rFonts w:ascii="Arial" w:hAnsi="Arial" w:cs="Arial"/>
          <w:sz w:val="24"/>
          <w:szCs w:val="24"/>
        </w:rPr>
        <w:t xml:space="preserve"> </w:t>
      </w:r>
      <w:r w:rsidRPr="00621BD6">
        <w:rPr>
          <w:rFonts w:ascii="Arial" w:hAnsi="Arial" w:cs="Arial"/>
          <w:sz w:val="24"/>
          <w:szCs w:val="24"/>
        </w:rPr>
        <w:t>N°</w:t>
      </w:r>
      <w:r w:rsidR="00621BD6">
        <w:rPr>
          <w:rFonts w:ascii="Arial" w:hAnsi="Arial" w:cs="Arial"/>
          <w:sz w:val="24"/>
          <w:szCs w:val="24"/>
        </w:rPr>
        <w:t xml:space="preserve"> </w:t>
      </w:r>
      <w:r w:rsidRPr="00621BD6">
        <w:rPr>
          <w:rFonts w:ascii="Arial" w:hAnsi="Arial" w:cs="Arial"/>
          <w:sz w:val="24"/>
          <w:szCs w:val="24"/>
        </w:rPr>
        <w:t>011-2017-</w:t>
      </w:r>
      <w:r w:rsidR="00894392" w:rsidRPr="00621BD6">
        <w:rPr>
          <w:rFonts w:ascii="Arial" w:hAnsi="Arial" w:cs="Arial"/>
          <w:sz w:val="24"/>
          <w:szCs w:val="24"/>
        </w:rPr>
        <w:t>Vivienda</w:t>
      </w:r>
      <w:r w:rsidRPr="00621BD6">
        <w:rPr>
          <w:rFonts w:ascii="Arial" w:hAnsi="Arial" w:cs="Arial"/>
          <w:sz w:val="24"/>
          <w:szCs w:val="24"/>
        </w:rPr>
        <w:t>, cuyo tenor señala que el administrado puede solicitar la recepción parcial de obras de habilitación urbana por etapas, siempre que se hayan ejecutado todas las obras proyectadas y autorizadas con la licencia para la etapa respectiva. Se puede i</w:t>
      </w:r>
      <w:r w:rsidR="00894392" w:rsidRPr="00621BD6">
        <w:rPr>
          <w:rFonts w:ascii="Arial" w:hAnsi="Arial" w:cs="Arial"/>
          <w:sz w:val="24"/>
          <w:szCs w:val="24"/>
        </w:rPr>
        <w:t xml:space="preserve">nscribir en el registro la etapa recepcionada, permaneciendo el área </w:t>
      </w:r>
      <w:r w:rsidRPr="00621BD6">
        <w:rPr>
          <w:rFonts w:ascii="Arial" w:hAnsi="Arial" w:cs="Arial"/>
          <w:sz w:val="24"/>
          <w:szCs w:val="24"/>
        </w:rPr>
        <w:t>pendiente de ejecución de obras en la partida registral matriz, y en esa línea a lo dicho por la Ley</w:t>
      </w:r>
      <w:r w:rsidR="00894392">
        <w:rPr>
          <w:rFonts w:ascii="Arial" w:hAnsi="Arial" w:cs="Arial"/>
          <w:sz w:val="24"/>
          <w:szCs w:val="24"/>
        </w:rPr>
        <w:t xml:space="preserve"> </w:t>
      </w:r>
      <w:r w:rsidRPr="00621BD6">
        <w:rPr>
          <w:rFonts w:ascii="Arial" w:hAnsi="Arial" w:cs="Arial"/>
          <w:sz w:val="24"/>
          <w:szCs w:val="24"/>
        </w:rPr>
        <w:t>29090 en su artículo 11 señala: (</w:t>
      </w:r>
      <w:r w:rsidR="00894392">
        <w:rPr>
          <w:rFonts w:ascii="Arial" w:hAnsi="Arial" w:cs="Arial"/>
          <w:sz w:val="24"/>
          <w:szCs w:val="24"/>
        </w:rPr>
        <w:t>...</w:t>
      </w:r>
      <w:r w:rsidRPr="00621BD6">
        <w:rPr>
          <w:rFonts w:ascii="Arial" w:hAnsi="Arial" w:cs="Arial"/>
          <w:sz w:val="24"/>
          <w:szCs w:val="24"/>
        </w:rPr>
        <w:t>) cuando se trate de una habilitación</w:t>
      </w:r>
      <w:r w:rsidR="00894392">
        <w:rPr>
          <w:rFonts w:ascii="Arial" w:hAnsi="Arial" w:cs="Arial"/>
          <w:sz w:val="24"/>
          <w:szCs w:val="24"/>
        </w:rPr>
        <w:t xml:space="preserve"> </w:t>
      </w:r>
      <w:r w:rsidRPr="00621BD6">
        <w:rPr>
          <w:rFonts w:ascii="Arial" w:hAnsi="Arial" w:cs="Arial"/>
          <w:sz w:val="24"/>
          <w:szCs w:val="24"/>
        </w:rPr>
        <w:t>urbana o edificaciones a ejecutarse por etapas, se podrá solicitar una</w:t>
      </w:r>
      <w:r w:rsidR="00894392">
        <w:rPr>
          <w:rFonts w:ascii="Arial" w:hAnsi="Arial" w:cs="Arial"/>
          <w:sz w:val="24"/>
          <w:szCs w:val="24"/>
        </w:rPr>
        <w:t xml:space="preserve"> </w:t>
      </w:r>
      <w:r w:rsidRPr="00621BD6">
        <w:rPr>
          <w:rFonts w:ascii="Arial" w:hAnsi="Arial" w:cs="Arial"/>
          <w:sz w:val="24"/>
          <w:szCs w:val="24"/>
        </w:rPr>
        <w:t>licencia por cada etapa, en base a un proyecto integral cuya aprobación tendrá una vigencia de diez (10) años (</w:t>
      </w:r>
      <w:r w:rsidR="00894392">
        <w:rPr>
          <w:rFonts w:ascii="Arial" w:hAnsi="Arial" w:cs="Arial"/>
          <w:sz w:val="24"/>
          <w:szCs w:val="24"/>
        </w:rPr>
        <w:t>...</w:t>
      </w:r>
      <w:r w:rsidRPr="00621BD6">
        <w:rPr>
          <w:rFonts w:ascii="Arial" w:hAnsi="Arial" w:cs="Arial"/>
          <w:sz w:val="24"/>
          <w:szCs w:val="24"/>
        </w:rPr>
        <w:t>)</w:t>
      </w:r>
      <w:r w:rsidR="00894392">
        <w:rPr>
          <w:rFonts w:ascii="Arial" w:hAnsi="Arial" w:cs="Arial"/>
          <w:sz w:val="24"/>
          <w:szCs w:val="24"/>
        </w:rPr>
        <w:t>.</w:t>
      </w:r>
      <w:r w:rsidRPr="00621BD6">
        <w:rPr>
          <w:rFonts w:ascii="Arial" w:hAnsi="Arial" w:cs="Arial"/>
          <w:sz w:val="24"/>
          <w:szCs w:val="24"/>
        </w:rPr>
        <w:t xml:space="preserve"> La vigencia de las licencias reguladas por</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 xml:space="preserve">presente </w:t>
      </w:r>
      <w:r w:rsidR="00894392" w:rsidRPr="00621BD6">
        <w:rPr>
          <w:rFonts w:ascii="Arial" w:hAnsi="Arial" w:cs="Arial"/>
          <w:sz w:val="24"/>
          <w:szCs w:val="24"/>
        </w:rPr>
        <w:t>ley</w:t>
      </w:r>
      <w:r w:rsidRPr="00621BD6">
        <w:rPr>
          <w:rFonts w:ascii="Arial" w:hAnsi="Arial" w:cs="Arial"/>
          <w:sz w:val="24"/>
          <w:szCs w:val="24"/>
        </w:rPr>
        <w:t>, sólo podrá ser interrumpida por las municipalidades, en los</w:t>
      </w:r>
      <w:r w:rsidR="00621BD6">
        <w:rPr>
          <w:rFonts w:ascii="Arial" w:hAnsi="Arial" w:cs="Arial"/>
          <w:sz w:val="24"/>
          <w:szCs w:val="24"/>
        </w:rPr>
        <w:t xml:space="preserve"> </w:t>
      </w:r>
      <w:r w:rsidRPr="00621BD6">
        <w:rPr>
          <w:rFonts w:ascii="Arial" w:hAnsi="Arial" w:cs="Arial"/>
          <w:sz w:val="24"/>
          <w:szCs w:val="24"/>
        </w:rPr>
        <w:t xml:space="preserve">siguientes casos: </w:t>
      </w:r>
      <w:r w:rsidRPr="00621BD6">
        <w:rPr>
          <w:rFonts w:ascii="Arial" w:hAnsi="Arial" w:cs="Arial"/>
          <w:b/>
          <w:bCs/>
          <w:sz w:val="24"/>
          <w:szCs w:val="24"/>
        </w:rPr>
        <w:t xml:space="preserve">a. </w:t>
      </w:r>
      <w:r w:rsidRPr="00621BD6">
        <w:rPr>
          <w:rFonts w:ascii="Arial" w:hAnsi="Arial" w:cs="Arial"/>
          <w:sz w:val="24"/>
          <w:szCs w:val="24"/>
        </w:rPr>
        <w:t>Incumplimiento de las normas urbanísticas y/o normas técnicas de edificación con las que fue otorgada</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licencia;</w:t>
      </w:r>
      <w:r w:rsidR="00621BD6">
        <w:rPr>
          <w:rFonts w:ascii="Arial" w:hAnsi="Arial" w:cs="Arial"/>
          <w:sz w:val="24"/>
          <w:szCs w:val="24"/>
        </w:rPr>
        <w:t xml:space="preserve"> </w:t>
      </w:r>
      <w:r w:rsidRPr="00621BD6">
        <w:rPr>
          <w:rFonts w:ascii="Arial" w:hAnsi="Arial" w:cs="Arial"/>
          <w:sz w:val="24"/>
          <w:szCs w:val="24"/>
        </w:rPr>
        <w:t>o,</w:t>
      </w:r>
      <w:r w:rsidR="00621BD6">
        <w:rPr>
          <w:rFonts w:ascii="Arial" w:hAnsi="Arial" w:cs="Arial"/>
          <w:sz w:val="24"/>
          <w:szCs w:val="24"/>
        </w:rPr>
        <w:t xml:space="preserve"> </w:t>
      </w:r>
      <w:r w:rsidRPr="00621BD6">
        <w:rPr>
          <w:rFonts w:ascii="Arial" w:hAnsi="Arial" w:cs="Arial"/>
          <w:b/>
          <w:bCs/>
          <w:sz w:val="24"/>
          <w:szCs w:val="24"/>
        </w:rPr>
        <w:t>b.</w:t>
      </w:r>
      <w:r w:rsidR="00621BD6">
        <w:rPr>
          <w:rFonts w:ascii="Arial" w:hAnsi="Arial" w:cs="Arial"/>
          <w:b/>
          <w:bCs/>
          <w:sz w:val="24"/>
          <w:szCs w:val="24"/>
        </w:rPr>
        <w:t xml:space="preserve"> </w:t>
      </w:r>
      <w:r w:rsidRPr="00621BD6">
        <w:rPr>
          <w:rFonts w:ascii="Arial" w:hAnsi="Arial" w:cs="Arial"/>
          <w:sz w:val="24"/>
          <w:szCs w:val="24"/>
        </w:rPr>
        <w:t>riesgo</w:t>
      </w:r>
      <w:r w:rsidR="00621BD6">
        <w:rPr>
          <w:rFonts w:ascii="Arial" w:hAnsi="Arial" w:cs="Arial"/>
          <w:sz w:val="24"/>
          <w:szCs w:val="24"/>
        </w:rPr>
        <w:t xml:space="preserve"> </w:t>
      </w:r>
      <w:r w:rsidRPr="00621BD6">
        <w:rPr>
          <w:rFonts w:ascii="Arial" w:hAnsi="Arial" w:cs="Arial"/>
          <w:sz w:val="24"/>
          <w:szCs w:val="24"/>
        </w:rPr>
        <w:t>inminente</w:t>
      </w:r>
      <w:r w:rsidR="00621BD6">
        <w:rPr>
          <w:rFonts w:ascii="Arial" w:hAnsi="Arial" w:cs="Arial"/>
          <w:sz w:val="24"/>
          <w:szCs w:val="24"/>
        </w:rPr>
        <w:t xml:space="preserve"> </w:t>
      </w:r>
      <w:r w:rsidRPr="00621BD6">
        <w:rPr>
          <w:rFonts w:ascii="Arial" w:hAnsi="Arial" w:cs="Arial"/>
          <w:sz w:val="24"/>
          <w:szCs w:val="24"/>
        </w:rPr>
        <w:t>contra</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seguridad</w:t>
      </w:r>
      <w:r w:rsidR="00621BD6">
        <w:rPr>
          <w:rFonts w:ascii="Arial" w:hAnsi="Arial" w:cs="Arial"/>
          <w:sz w:val="24"/>
          <w:szCs w:val="24"/>
        </w:rPr>
        <w:t xml:space="preserve"> </w:t>
      </w:r>
      <w:r w:rsidRPr="00621BD6">
        <w:rPr>
          <w:rFonts w:ascii="Arial" w:hAnsi="Arial" w:cs="Arial"/>
          <w:sz w:val="24"/>
          <w:szCs w:val="24"/>
        </w:rPr>
        <w:t>e integridad de las personas y/o edificaciones, previa opinión favorable del Instituto Nacional de Defensa Civil; situaciones ajenas al presente caso, además que el fin de anotación de la pre independización es la de otorgar los contratos de venta garantizada y de lo cual como ya ha</w:t>
      </w:r>
      <w:r w:rsidR="00894392">
        <w:rPr>
          <w:rFonts w:ascii="Arial" w:hAnsi="Arial" w:cs="Arial"/>
          <w:sz w:val="24"/>
          <w:szCs w:val="24"/>
        </w:rPr>
        <w:t xml:space="preserve"> </w:t>
      </w:r>
      <w:r w:rsidRPr="00621BD6">
        <w:rPr>
          <w:rFonts w:ascii="Arial" w:hAnsi="Arial" w:cs="Arial"/>
          <w:sz w:val="24"/>
          <w:szCs w:val="24"/>
        </w:rPr>
        <w:t>explicado es procedente.</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lastRenderedPageBreak/>
        <w:t>IV.</w:t>
      </w:r>
      <w:r w:rsidR="00621BD6">
        <w:rPr>
          <w:rFonts w:ascii="Arial" w:hAnsi="Arial" w:cs="Arial"/>
          <w:b/>
          <w:bCs/>
          <w:sz w:val="24"/>
          <w:szCs w:val="24"/>
        </w:rPr>
        <w:t xml:space="preserve"> </w:t>
      </w:r>
      <w:r w:rsidRPr="00621BD6">
        <w:rPr>
          <w:rFonts w:ascii="Arial" w:hAnsi="Arial" w:cs="Arial"/>
          <w:b/>
          <w:bCs/>
          <w:sz w:val="24"/>
          <w:szCs w:val="24"/>
        </w:rPr>
        <w:t>A</w:t>
      </w:r>
      <w:r w:rsidR="00894392" w:rsidRPr="00621BD6">
        <w:rPr>
          <w:rFonts w:ascii="Arial" w:hAnsi="Arial" w:cs="Arial"/>
          <w:b/>
          <w:bCs/>
          <w:sz w:val="24"/>
          <w:szCs w:val="24"/>
        </w:rPr>
        <w:t>ntecedente registral</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 xml:space="preserve">En la </w:t>
      </w:r>
      <w:r w:rsidR="00894392" w:rsidRPr="00621BD6">
        <w:rPr>
          <w:rFonts w:ascii="Arial" w:hAnsi="Arial" w:cs="Arial"/>
          <w:b/>
          <w:bCs/>
          <w:sz w:val="24"/>
          <w:szCs w:val="24"/>
        </w:rPr>
        <w:t xml:space="preserve">Partida Registral </w:t>
      </w:r>
      <w:r w:rsidRPr="00621BD6">
        <w:rPr>
          <w:rFonts w:ascii="Arial" w:hAnsi="Arial" w:cs="Arial"/>
          <w:b/>
          <w:bCs/>
          <w:sz w:val="24"/>
          <w:szCs w:val="24"/>
        </w:rPr>
        <w:t xml:space="preserve">N.° P03303647 </w:t>
      </w:r>
      <w:r w:rsidRPr="00621BD6">
        <w:rPr>
          <w:rFonts w:ascii="Arial" w:hAnsi="Arial" w:cs="Arial"/>
          <w:sz w:val="24"/>
          <w:szCs w:val="24"/>
        </w:rPr>
        <w:t xml:space="preserve">del Registro de Predios de Lima obra anotado preventivamente el inmueble ubicado en la Mz. G Lote 35 del Programa de Vivienda </w:t>
      </w:r>
      <w:r w:rsidR="00894392">
        <w:rPr>
          <w:rFonts w:ascii="Arial" w:hAnsi="Arial" w:cs="Arial"/>
          <w:sz w:val="24"/>
          <w:szCs w:val="24"/>
        </w:rPr>
        <w:t>"</w:t>
      </w:r>
      <w:r w:rsidRPr="00621BD6">
        <w:rPr>
          <w:rFonts w:ascii="Arial" w:hAnsi="Arial" w:cs="Arial"/>
          <w:sz w:val="24"/>
          <w:szCs w:val="24"/>
        </w:rPr>
        <w:t>Los Ángeles de Pachacamac 2da Etapa</w:t>
      </w:r>
      <w:r w:rsidR="00894392">
        <w:rPr>
          <w:rFonts w:ascii="Arial" w:hAnsi="Arial" w:cs="Arial"/>
          <w:sz w:val="24"/>
          <w:szCs w:val="24"/>
        </w:rPr>
        <w:t>"</w:t>
      </w:r>
      <w:r w:rsidRPr="00621BD6">
        <w:rPr>
          <w:rFonts w:ascii="Arial" w:hAnsi="Arial" w:cs="Arial"/>
          <w:sz w:val="24"/>
          <w:szCs w:val="24"/>
        </w:rPr>
        <w:t xml:space="preserve"> del</w:t>
      </w:r>
      <w:r w:rsidR="00894392">
        <w:rPr>
          <w:rFonts w:ascii="Arial" w:hAnsi="Arial" w:cs="Arial"/>
          <w:sz w:val="24"/>
          <w:szCs w:val="24"/>
        </w:rPr>
        <w:t xml:space="preserve"> </w:t>
      </w:r>
      <w:r w:rsidRPr="00621BD6">
        <w:rPr>
          <w:rFonts w:ascii="Arial" w:hAnsi="Arial" w:cs="Arial"/>
          <w:sz w:val="24"/>
          <w:szCs w:val="24"/>
        </w:rPr>
        <w:t>distrito de Pachacamac, provincia y departamento de Lima.</w:t>
      </w:r>
    </w:p>
    <w:p w:rsidR="00207B9C" w:rsidRP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Kozuka Gothic Pro EL" w:hAnsi="Arial" w:cs="Arial"/>
          <w:sz w:val="24"/>
          <w:szCs w:val="24"/>
        </w:rPr>
      </w:pPr>
      <w:r w:rsidRPr="00621BD6">
        <w:rPr>
          <w:rFonts w:ascii="MS Gothic" w:eastAsia="MS Gothic" w:hAnsi="MS Gothic" w:cs="MS Gothic" w:hint="eastAsia"/>
          <w:sz w:val="24"/>
          <w:szCs w:val="24"/>
        </w:rPr>
        <w:t>❖</w:t>
      </w:r>
      <w:r>
        <w:rPr>
          <w:rFonts w:ascii="Arial" w:hAnsi="Arial" w:cs="Segoe UI Symbol"/>
          <w:sz w:val="24"/>
          <w:szCs w:val="24"/>
        </w:rPr>
        <w:t xml:space="preserve"> </w:t>
      </w:r>
      <w:r w:rsidR="00207B9C" w:rsidRPr="00621BD6">
        <w:rPr>
          <w:rFonts w:ascii="Arial" w:eastAsia="Kozuka Gothic Pro EL" w:hAnsi="Arial" w:cs="Arial"/>
          <w:sz w:val="24"/>
          <w:szCs w:val="24"/>
        </w:rPr>
        <w:t>En</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el</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asiento</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00001</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consta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el</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asiento</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de</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preindependización</w:t>
      </w:r>
      <w:r>
        <w:rPr>
          <w:rFonts w:ascii="Arial" w:eastAsia="Kozuka Gothic Pro EL" w:hAnsi="Arial" w:cs="Arial"/>
          <w:sz w:val="24"/>
          <w:szCs w:val="24"/>
        </w:rPr>
        <w:t xml:space="preserve"> </w:t>
      </w:r>
      <w:r w:rsidR="00207B9C" w:rsidRPr="00621BD6">
        <w:rPr>
          <w:rFonts w:ascii="Arial" w:eastAsia="Kozuka Gothic Pro EL" w:hAnsi="Arial" w:cs="Arial"/>
          <w:sz w:val="24"/>
          <w:szCs w:val="24"/>
        </w:rPr>
        <w:t>derivado de la anotación preventiva</w:t>
      </w:r>
      <w:r w:rsidRPr="00621BD6">
        <w:rPr>
          <w:rFonts w:ascii="Arial" w:eastAsia="Kozuka Gothic Pro EL" w:hAnsi="Arial" w:cs="Arial"/>
          <w:sz w:val="24"/>
          <w:szCs w:val="24"/>
        </w:rPr>
        <w:t xml:space="preserve"> del proyecto de habilitación urbana</w:t>
      </w:r>
      <w:r>
        <w:rPr>
          <w:rFonts w:ascii="Arial" w:eastAsia="Kozuka Gothic Pro EL" w:hAnsi="Arial" w:cs="Arial"/>
          <w:sz w:val="24"/>
          <w:szCs w:val="24"/>
        </w:rPr>
        <w:t xml:space="preserve"> </w:t>
      </w:r>
      <w:r w:rsidRPr="00621BD6">
        <w:rPr>
          <w:rFonts w:ascii="Arial" w:eastAsia="Kozuka Gothic Pro EL" w:hAnsi="Arial" w:cs="Arial"/>
          <w:sz w:val="24"/>
          <w:szCs w:val="24"/>
        </w:rPr>
        <w:t>de</w:t>
      </w:r>
      <w:r>
        <w:rPr>
          <w:rFonts w:ascii="Arial" w:eastAsia="Kozuka Gothic Pro EL" w:hAnsi="Arial" w:cs="Arial"/>
          <w:sz w:val="24"/>
          <w:szCs w:val="24"/>
        </w:rPr>
        <w:t xml:space="preserve"> </w:t>
      </w:r>
      <w:r w:rsidRPr="00621BD6">
        <w:rPr>
          <w:rFonts w:ascii="Arial" w:eastAsia="Kozuka Gothic Pro EL" w:hAnsi="Arial" w:cs="Arial"/>
          <w:sz w:val="24"/>
          <w:szCs w:val="24"/>
        </w:rPr>
        <w:t>la</w:t>
      </w:r>
      <w:r>
        <w:rPr>
          <w:rFonts w:ascii="Arial" w:eastAsia="Kozuka Gothic Pro EL" w:hAnsi="Arial" w:cs="Arial"/>
          <w:sz w:val="24"/>
          <w:szCs w:val="24"/>
        </w:rPr>
        <w:t xml:space="preserve"> </w:t>
      </w:r>
      <w:r w:rsidRPr="00621BD6">
        <w:rPr>
          <w:rFonts w:ascii="Arial" w:eastAsia="Kozuka Gothic Pro EL" w:hAnsi="Arial" w:cs="Arial"/>
          <w:sz w:val="24"/>
          <w:szCs w:val="24"/>
        </w:rPr>
        <w:t>partida</w:t>
      </w:r>
      <w:r>
        <w:rPr>
          <w:rFonts w:ascii="Arial" w:eastAsia="Kozuka Gothic Pro EL" w:hAnsi="Arial" w:cs="Arial"/>
          <w:sz w:val="24"/>
          <w:szCs w:val="24"/>
        </w:rPr>
        <w:t xml:space="preserve"> </w:t>
      </w:r>
      <w:r w:rsidRPr="00621BD6">
        <w:rPr>
          <w:rFonts w:ascii="Arial" w:eastAsia="Kozuka Gothic Pro EL" w:hAnsi="Arial" w:cs="Arial"/>
          <w:sz w:val="24"/>
          <w:szCs w:val="24"/>
        </w:rPr>
        <w:t>matriz</w:t>
      </w:r>
      <w:r>
        <w:rPr>
          <w:rFonts w:ascii="Arial" w:eastAsia="Kozuka Gothic Pro EL" w:hAnsi="Arial" w:cs="Arial"/>
          <w:sz w:val="24"/>
          <w:szCs w:val="24"/>
        </w:rPr>
        <w:t xml:space="preserve"> </w:t>
      </w:r>
      <w:r w:rsidR="00207B9C" w:rsidRPr="00621BD6">
        <w:rPr>
          <w:rFonts w:ascii="Arial" w:eastAsia="Kozuka Gothic Pro EL" w:hAnsi="Arial" w:cs="Arial"/>
          <w:sz w:val="24"/>
          <w:szCs w:val="24"/>
        </w:rPr>
        <w:t>P03154716,</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autorizándose</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la Compañía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Inmobiliaria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Constructora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y</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de</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Transportes</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Estrella Andina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S.A.</w:t>
      </w:r>
      <w:r w:rsidR="00621BD6">
        <w:rPr>
          <w:rFonts w:ascii="Arial" w:eastAsia="Kozuka Gothic Pro EL" w:hAnsi="Arial" w:cs="Arial"/>
          <w:sz w:val="24"/>
          <w:szCs w:val="24"/>
        </w:rPr>
        <w:t xml:space="preserve"> - </w:t>
      </w:r>
      <w:r w:rsidRPr="00621BD6">
        <w:rPr>
          <w:rFonts w:ascii="Arial" w:eastAsia="Kozuka Gothic Pro EL" w:hAnsi="Arial" w:cs="Arial"/>
          <w:sz w:val="24"/>
          <w:szCs w:val="24"/>
        </w:rPr>
        <w:t>Cicontesa</w:t>
      </w:r>
      <w:r w:rsidR="00207B9C" w:rsidRPr="00621BD6">
        <w:rPr>
          <w:rFonts w:ascii="Arial" w:eastAsia="Kozuka Gothic Pro EL" w:hAnsi="Arial" w:cs="Arial"/>
          <w:sz w:val="24"/>
          <w:szCs w:val="24"/>
        </w:rPr>
        <w:t>,</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a</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celebrar</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contratos</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de</w:t>
      </w:r>
      <w:r w:rsidR="00621BD6">
        <w:rPr>
          <w:rFonts w:ascii="Arial" w:eastAsia="Kozuka Gothic Pro EL" w:hAnsi="Arial" w:cs="Arial"/>
          <w:sz w:val="24"/>
          <w:szCs w:val="24"/>
        </w:rPr>
        <w:t xml:space="preserve"> </w:t>
      </w:r>
      <w:r w:rsidR="00207B9C" w:rsidRPr="00621BD6">
        <w:rPr>
          <w:rFonts w:ascii="Arial" w:eastAsia="Kozuka Gothic Pro EL" w:hAnsi="Arial" w:cs="Arial"/>
          <w:sz w:val="24"/>
          <w:szCs w:val="24"/>
        </w:rPr>
        <w:t>venta garantizada, respecto a los lotes que constituyen el área útil de la habilitación urbana.</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eastAsia="Kozuka Gothic Pro EL" w:hAnsi="Arial" w:cs="Arial"/>
          <w:sz w:val="24"/>
          <w:szCs w:val="24"/>
        </w:rPr>
      </w:pPr>
      <w:r w:rsidRPr="00621BD6">
        <w:rPr>
          <w:rFonts w:ascii="Arial" w:eastAsia="Kozuka Gothic Pro EL" w:hAnsi="Arial" w:cs="Arial"/>
          <w:sz w:val="24"/>
          <w:szCs w:val="24"/>
        </w:rPr>
        <w:t>Asimismo, se anota que la presente preindependización caducará de pleno derecho el 12.03.2015, conforme lo dispone el artículo 11 de la Ley N</w:t>
      </w:r>
      <w:r w:rsidR="00894392">
        <w:rPr>
          <w:rFonts w:ascii="Arial" w:eastAsia="Kozuka Gothic Pro EL" w:hAnsi="Arial" w:cs="Arial"/>
          <w:sz w:val="24"/>
          <w:szCs w:val="24"/>
        </w:rPr>
        <w:t>.</w:t>
      </w:r>
      <w:r w:rsidRPr="00621BD6">
        <w:rPr>
          <w:rFonts w:ascii="Arial" w:eastAsia="Kozuka Gothic Pro EL" w:hAnsi="Arial" w:cs="Arial"/>
          <w:sz w:val="24"/>
          <w:szCs w:val="24"/>
        </w:rPr>
        <w:t>° 29090. Así consta en el título archivado 559123 del</w:t>
      </w:r>
      <w:r w:rsidR="00894392">
        <w:rPr>
          <w:rFonts w:ascii="Arial" w:eastAsia="Kozuka Gothic Pro EL" w:hAnsi="Arial" w:cs="Arial"/>
          <w:sz w:val="24"/>
          <w:szCs w:val="24"/>
        </w:rPr>
        <w:t xml:space="preserve"> </w:t>
      </w:r>
      <w:r w:rsidRPr="00621BD6">
        <w:rPr>
          <w:rFonts w:ascii="Arial" w:eastAsia="Kozuka Gothic Pro EL" w:hAnsi="Arial" w:cs="Arial"/>
          <w:sz w:val="24"/>
          <w:szCs w:val="24"/>
        </w:rPr>
        <w:t>03.06.2014.</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 xml:space="preserve">En la </w:t>
      </w:r>
      <w:r w:rsidR="00894392" w:rsidRPr="00621BD6">
        <w:rPr>
          <w:rFonts w:ascii="Arial" w:hAnsi="Arial" w:cs="Arial"/>
          <w:b/>
          <w:bCs/>
          <w:sz w:val="24"/>
          <w:szCs w:val="24"/>
        </w:rPr>
        <w:t xml:space="preserve">Partida Registral </w:t>
      </w:r>
      <w:r w:rsidRPr="00621BD6">
        <w:rPr>
          <w:rFonts w:ascii="Arial" w:hAnsi="Arial" w:cs="Arial"/>
          <w:b/>
          <w:bCs/>
          <w:sz w:val="24"/>
          <w:szCs w:val="24"/>
        </w:rPr>
        <w:t xml:space="preserve">N.° P03154716 </w:t>
      </w:r>
      <w:r w:rsidRPr="00621BD6">
        <w:rPr>
          <w:rFonts w:ascii="Arial" w:hAnsi="Arial" w:cs="Arial"/>
          <w:sz w:val="24"/>
          <w:szCs w:val="24"/>
        </w:rPr>
        <w:t>(matriz) del Registro de Predios</w:t>
      </w:r>
      <w:r w:rsidR="00894392">
        <w:rPr>
          <w:rFonts w:ascii="Arial" w:hAnsi="Arial" w:cs="Arial"/>
          <w:sz w:val="24"/>
          <w:szCs w:val="24"/>
        </w:rPr>
        <w:t xml:space="preserve"> </w:t>
      </w:r>
      <w:r w:rsidRPr="00621BD6">
        <w:rPr>
          <w:rFonts w:ascii="Arial" w:hAnsi="Arial" w:cs="Arial"/>
          <w:sz w:val="24"/>
          <w:szCs w:val="24"/>
        </w:rPr>
        <w:t>de Lima obra inscrito el inmueble denominado Programa de Vivienda</w:t>
      </w:r>
      <w:r w:rsidR="00894392">
        <w:rPr>
          <w:rFonts w:ascii="Arial" w:hAnsi="Arial" w:cs="Arial"/>
          <w:sz w:val="24"/>
          <w:szCs w:val="24"/>
        </w:rPr>
        <w:t xml:space="preserve"> "</w:t>
      </w:r>
      <w:r w:rsidRPr="00621BD6">
        <w:rPr>
          <w:rFonts w:ascii="Arial" w:hAnsi="Arial" w:cs="Arial"/>
          <w:sz w:val="24"/>
          <w:szCs w:val="24"/>
        </w:rPr>
        <w:t>Los Ángeles de Pachacamac 2da Etapa</w:t>
      </w:r>
      <w:r w:rsidR="00627D7E">
        <w:rPr>
          <w:rFonts w:ascii="Arial" w:hAnsi="Arial" w:cs="Arial"/>
          <w:sz w:val="24"/>
          <w:szCs w:val="24"/>
        </w:rPr>
        <w:t>"</w:t>
      </w:r>
      <w:bookmarkStart w:id="0" w:name="_GoBack"/>
      <w:bookmarkEnd w:id="0"/>
      <w:r w:rsidRPr="00621BD6">
        <w:rPr>
          <w:rFonts w:ascii="Arial" w:hAnsi="Arial" w:cs="Arial"/>
          <w:sz w:val="24"/>
          <w:szCs w:val="24"/>
        </w:rPr>
        <w:t xml:space="preserve"> del distrito de Pachacamac,</w:t>
      </w:r>
      <w:r w:rsidR="00894392">
        <w:rPr>
          <w:rFonts w:ascii="Arial" w:hAnsi="Arial" w:cs="Arial"/>
          <w:sz w:val="24"/>
          <w:szCs w:val="24"/>
        </w:rPr>
        <w:t xml:space="preserve"> </w:t>
      </w:r>
      <w:r w:rsidRPr="00621BD6">
        <w:rPr>
          <w:rFonts w:ascii="Arial" w:hAnsi="Arial" w:cs="Arial"/>
          <w:sz w:val="24"/>
          <w:szCs w:val="24"/>
        </w:rPr>
        <w:t>provincia y departamento de Lima.</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MS Gothic" w:eastAsia="MS Gothic" w:hAnsi="MS Gothic" w:cs="MS Gothic" w:hint="eastAsia"/>
          <w:sz w:val="24"/>
          <w:szCs w:val="24"/>
        </w:rPr>
        <w:t>❖</w:t>
      </w:r>
      <w:r w:rsidR="00621BD6">
        <w:rPr>
          <w:rFonts w:ascii="Arial" w:hAnsi="Arial" w:cs="Segoe UI Symbol"/>
          <w:sz w:val="24"/>
          <w:szCs w:val="24"/>
        </w:rPr>
        <w:t xml:space="preserve"> </w:t>
      </w:r>
      <w:r w:rsidRPr="00621BD6">
        <w:rPr>
          <w:rFonts w:ascii="Arial" w:hAnsi="Arial" w:cs="Arial"/>
          <w:sz w:val="24"/>
          <w:szCs w:val="24"/>
        </w:rPr>
        <w:t>En el asiento 00012 consta, en mérito a la Resolución de Gerencia</w:t>
      </w:r>
      <w:r w:rsidR="00894392">
        <w:rPr>
          <w:rFonts w:ascii="Arial" w:hAnsi="Arial" w:cs="Arial"/>
          <w:sz w:val="24"/>
          <w:szCs w:val="24"/>
        </w:rPr>
        <w:t xml:space="preserve"> </w:t>
      </w:r>
      <w:r w:rsidRPr="00621BD6">
        <w:rPr>
          <w:rFonts w:ascii="Arial" w:hAnsi="Arial" w:cs="Arial"/>
          <w:sz w:val="24"/>
          <w:szCs w:val="24"/>
        </w:rPr>
        <w:t>N.° 298-2012-GDUR/MDP</w:t>
      </w:r>
      <w:r w:rsidR="00621BD6">
        <w:rPr>
          <w:rFonts w:ascii="Arial" w:hAnsi="Arial" w:cs="Arial"/>
          <w:sz w:val="24"/>
          <w:szCs w:val="24"/>
        </w:rPr>
        <w:t xml:space="preserve"> </w:t>
      </w:r>
      <w:r w:rsidRPr="00621BD6">
        <w:rPr>
          <w:rFonts w:ascii="Arial" w:hAnsi="Arial" w:cs="Arial"/>
          <w:sz w:val="24"/>
          <w:szCs w:val="24"/>
        </w:rPr>
        <w:t>del</w:t>
      </w:r>
      <w:r w:rsidR="00621BD6">
        <w:rPr>
          <w:rFonts w:ascii="Arial" w:hAnsi="Arial" w:cs="Arial"/>
          <w:sz w:val="24"/>
          <w:szCs w:val="24"/>
        </w:rPr>
        <w:t xml:space="preserve"> </w:t>
      </w:r>
      <w:r w:rsidRPr="00621BD6">
        <w:rPr>
          <w:rFonts w:ascii="Arial" w:hAnsi="Arial" w:cs="Arial"/>
          <w:sz w:val="24"/>
          <w:szCs w:val="24"/>
        </w:rPr>
        <w:t>05.10.2012</w:t>
      </w:r>
      <w:r w:rsidR="00621BD6">
        <w:rPr>
          <w:rFonts w:ascii="Arial" w:hAnsi="Arial" w:cs="Arial"/>
          <w:sz w:val="24"/>
          <w:szCs w:val="24"/>
        </w:rPr>
        <w:t xml:space="preserve"> </w:t>
      </w:r>
      <w:r w:rsidRPr="00621BD6">
        <w:rPr>
          <w:rFonts w:ascii="Arial" w:hAnsi="Arial" w:cs="Arial"/>
          <w:sz w:val="24"/>
          <w:szCs w:val="24"/>
        </w:rPr>
        <w:t>y</w:t>
      </w:r>
      <w:r w:rsidR="00621BD6">
        <w:rPr>
          <w:rFonts w:ascii="Arial" w:hAnsi="Arial" w:cs="Arial"/>
          <w:sz w:val="24"/>
          <w:szCs w:val="24"/>
        </w:rPr>
        <w:t xml:space="preserve"> </w:t>
      </w:r>
      <w:r w:rsidRPr="00621BD6">
        <w:rPr>
          <w:rFonts w:ascii="Arial" w:hAnsi="Arial" w:cs="Arial"/>
          <w:sz w:val="24"/>
          <w:szCs w:val="24"/>
        </w:rPr>
        <w:t>Resolución</w:t>
      </w:r>
      <w:r w:rsidR="00621BD6">
        <w:rPr>
          <w:rFonts w:ascii="Arial" w:hAnsi="Arial" w:cs="Arial"/>
          <w:sz w:val="24"/>
          <w:szCs w:val="24"/>
        </w:rPr>
        <w:t xml:space="preserve"> </w:t>
      </w:r>
      <w:r w:rsidRPr="00621BD6">
        <w:rPr>
          <w:rFonts w:ascii="Arial" w:hAnsi="Arial" w:cs="Arial"/>
          <w:sz w:val="24"/>
          <w:szCs w:val="24"/>
        </w:rPr>
        <w:t>de Gerencia N° 136-2014-MDP-GDUR del 22.05.2014, expedidas por la Municipalidad Distrital de Pachacamac, la anotación preventiva de</w:t>
      </w:r>
      <w:r w:rsidR="00894392" w:rsidRPr="00621BD6">
        <w:rPr>
          <w:rFonts w:ascii="Arial" w:hAnsi="Arial" w:cs="Arial"/>
          <w:sz w:val="24"/>
          <w:szCs w:val="24"/>
        </w:rPr>
        <w:t>l</w:t>
      </w:r>
      <w:r w:rsidR="00894392">
        <w:rPr>
          <w:rFonts w:ascii="Arial" w:hAnsi="Arial" w:cs="Arial"/>
          <w:sz w:val="24"/>
          <w:szCs w:val="24"/>
        </w:rPr>
        <w:t xml:space="preserve"> </w:t>
      </w:r>
      <w:r w:rsidR="00894392" w:rsidRPr="00621BD6">
        <w:rPr>
          <w:rFonts w:ascii="Arial" w:hAnsi="Arial" w:cs="Arial"/>
          <w:sz w:val="24"/>
          <w:szCs w:val="24"/>
        </w:rPr>
        <w:t>proyecto</w:t>
      </w:r>
      <w:r w:rsidR="00894392">
        <w:rPr>
          <w:rFonts w:ascii="Arial" w:hAnsi="Arial" w:cs="Arial"/>
          <w:sz w:val="24"/>
          <w:szCs w:val="24"/>
        </w:rPr>
        <w:t xml:space="preserve"> </w:t>
      </w:r>
      <w:r w:rsidR="00894392" w:rsidRPr="00621BD6">
        <w:rPr>
          <w:rFonts w:ascii="Arial" w:hAnsi="Arial" w:cs="Arial"/>
          <w:sz w:val="24"/>
          <w:szCs w:val="24"/>
        </w:rPr>
        <w:t>de</w:t>
      </w:r>
      <w:r w:rsidR="00894392">
        <w:rPr>
          <w:rFonts w:ascii="Arial" w:hAnsi="Arial" w:cs="Arial"/>
          <w:sz w:val="24"/>
          <w:szCs w:val="24"/>
        </w:rPr>
        <w:t xml:space="preserve"> </w:t>
      </w:r>
      <w:r w:rsidR="00894392" w:rsidRPr="00621BD6">
        <w:rPr>
          <w:rFonts w:ascii="Arial" w:hAnsi="Arial" w:cs="Arial"/>
          <w:sz w:val="24"/>
          <w:szCs w:val="24"/>
        </w:rPr>
        <w:t>habilitación</w:t>
      </w:r>
      <w:r w:rsidR="00894392">
        <w:rPr>
          <w:rFonts w:ascii="Arial" w:hAnsi="Arial" w:cs="Arial"/>
          <w:sz w:val="24"/>
          <w:szCs w:val="24"/>
        </w:rPr>
        <w:t xml:space="preserve"> </w:t>
      </w:r>
      <w:r w:rsidR="00894392" w:rsidRPr="00621BD6">
        <w:rPr>
          <w:rFonts w:ascii="Arial" w:hAnsi="Arial" w:cs="Arial"/>
          <w:sz w:val="24"/>
          <w:szCs w:val="24"/>
        </w:rPr>
        <w:t>urbana</w:t>
      </w:r>
      <w:r w:rsidR="00894392">
        <w:rPr>
          <w:rFonts w:ascii="Arial" w:hAnsi="Arial" w:cs="Arial"/>
          <w:sz w:val="24"/>
          <w:szCs w:val="24"/>
        </w:rPr>
        <w:t xml:space="preserve"> </w:t>
      </w:r>
      <w:r w:rsidR="00894392" w:rsidRPr="00621BD6">
        <w:rPr>
          <w:rFonts w:ascii="Arial" w:hAnsi="Arial" w:cs="Arial"/>
          <w:sz w:val="24"/>
          <w:szCs w:val="24"/>
        </w:rPr>
        <w:t>para</w:t>
      </w:r>
      <w:r w:rsidR="00894392">
        <w:rPr>
          <w:rFonts w:ascii="Arial" w:hAnsi="Arial" w:cs="Arial"/>
          <w:sz w:val="24"/>
          <w:szCs w:val="24"/>
        </w:rPr>
        <w:t xml:space="preserve"> </w:t>
      </w:r>
      <w:r w:rsidRPr="00621BD6">
        <w:rPr>
          <w:rFonts w:ascii="Arial" w:hAnsi="Arial" w:cs="Arial"/>
          <w:sz w:val="24"/>
          <w:szCs w:val="24"/>
        </w:rPr>
        <w:t>fines</w:t>
      </w:r>
      <w:r w:rsidR="00621BD6">
        <w:rPr>
          <w:rFonts w:ascii="Arial" w:hAnsi="Arial" w:cs="Arial"/>
          <w:sz w:val="24"/>
          <w:szCs w:val="24"/>
        </w:rPr>
        <w:t xml:space="preserve"> </w:t>
      </w:r>
      <w:r w:rsidRPr="00621BD6">
        <w:rPr>
          <w:rFonts w:ascii="Arial" w:hAnsi="Arial" w:cs="Arial"/>
          <w:sz w:val="24"/>
          <w:szCs w:val="24"/>
        </w:rPr>
        <w:t>residenciales, autorizándose</w:t>
      </w:r>
      <w:r w:rsidR="00621BD6">
        <w:rPr>
          <w:rFonts w:ascii="Arial" w:hAnsi="Arial" w:cs="Arial"/>
          <w:sz w:val="24"/>
          <w:szCs w:val="24"/>
        </w:rPr>
        <w:t xml:space="preserve"> </w:t>
      </w:r>
      <w:r w:rsidRPr="00621BD6">
        <w:rPr>
          <w:rFonts w:ascii="Arial" w:hAnsi="Arial" w:cs="Arial"/>
          <w:sz w:val="24"/>
          <w:szCs w:val="24"/>
        </w:rPr>
        <w:t>a</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Compañía</w:t>
      </w:r>
      <w:r w:rsidR="00621BD6">
        <w:rPr>
          <w:rFonts w:ascii="Arial" w:hAnsi="Arial" w:cs="Arial"/>
          <w:sz w:val="24"/>
          <w:szCs w:val="24"/>
        </w:rPr>
        <w:t xml:space="preserve"> </w:t>
      </w:r>
      <w:r w:rsidRPr="00621BD6">
        <w:rPr>
          <w:rFonts w:ascii="Arial" w:hAnsi="Arial" w:cs="Arial"/>
          <w:sz w:val="24"/>
          <w:szCs w:val="24"/>
        </w:rPr>
        <w:t>Inmobiliaria</w:t>
      </w:r>
      <w:r w:rsidR="00621BD6">
        <w:rPr>
          <w:rFonts w:ascii="Arial" w:hAnsi="Arial" w:cs="Arial"/>
          <w:sz w:val="24"/>
          <w:szCs w:val="24"/>
        </w:rPr>
        <w:t xml:space="preserve"> </w:t>
      </w:r>
      <w:r w:rsidRPr="00621BD6">
        <w:rPr>
          <w:rFonts w:ascii="Arial" w:hAnsi="Arial" w:cs="Arial"/>
          <w:sz w:val="24"/>
          <w:szCs w:val="24"/>
        </w:rPr>
        <w:t>Constructora</w:t>
      </w:r>
      <w:r w:rsidR="00621BD6">
        <w:rPr>
          <w:rFonts w:ascii="Arial" w:hAnsi="Arial" w:cs="Arial"/>
          <w:sz w:val="24"/>
          <w:szCs w:val="24"/>
        </w:rPr>
        <w:t xml:space="preserve"> </w:t>
      </w:r>
      <w:r w:rsidRPr="00621BD6">
        <w:rPr>
          <w:rFonts w:ascii="Arial" w:hAnsi="Arial" w:cs="Arial"/>
          <w:sz w:val="24"/>
          <w:szCs w:val="24"/>
        </w:rPr>
        <w:t>y</w:t>
      </w:r>
      <w:r w:rsidR="00621BD6">
        <w:rPr>
          <w:rFonts w:ascii="Arial" w:hAnsi="Arial" w:cs="Arial"/>
          <w:sz w:val="24"/>
          <w:szCs w:val="24"/>
        </w:rPr>
        <w:t xml:space="preserve"> </w:t>
      </w:r>
      <w:r w:rsidRPr="00621BD6">
        <w:rPr>
          <w:rFonts w:ascii="Arial" w:hAnsi="Arial" w:cs="Arial"/>
          <w:sz w:val="24"/>
          <w:szCs w:val="24"/>
        </w:rPr>
        <w:t>de Transportes</w:t>
      </w:r>
      <w:r w:rsidR="00621BD6">
        <w:rPr>
          <w:rFonts w:ascii="Arial" w:hAnsi="Arial" w:cs="Arial"/>
          <w:sz w:val="24"/>
          <w:szCs w:val="24"/>
        </w:rPr>
        <w:t xml:space="preserve"> </w:t>
      </w:r>
      <w:r w:rsidRPr="00621BD6">
        <w:rPr>
          <w:rFonts w:ascii="Arial" w:hAnsi="Arial" w:cs="Arial"/>
          <w:sz w:val="24"/>
          <w:szCs w:val="24"/>
        </w:rPr>
        <w:t>Estrella</w:t>
      </w:r>
      <w:r w:rsidR="00621BD6">
        <w:rPr>
          <w:rFonts w:ascii="Arial" w:hAnsi="Arial" w:cs="Arial"/>
          <w:sz w:val="24"/>
          <w:szCs w:val="24"/>
        </w:rPr>
        <w:t xml:space="preserve"> </w:t>
      </w:r>
      <w:r w:rsidRPr="00621BD6">
        <w:rPr>
          <w:rFonts w:ascii="Arial" w:hAnsi="Arial" w:cs="Arial"/>
          <w:sz w:val="24"/>
          <w:szCs w:val="24"/>
        </w:rPr>
        <w:t>Andina</w:t>
      </w:r>
      <w:r w:rsidR="00621BD6">
        <w:rPr>
          <w:rFonts w:ascii="Arial" w:hAnsi="Arial" w:cs="Arial"/>
          <w:sz w:val="24"/>
          <w:szCs w:val="24"/>
        </w:rPr>
        <w:t xml:space="preserve"> </w:t>
      </w:r>
      <w:r w:rsidRPr="00621BD6">
        <w:rPr>
          <w:rFonts w:ascii="Arial" w:hAnsi="Arial" w:cs="Arial"/>
          <w:sz w:val="24"/>
          <w:szCs w:val="24"/>
        </w:rPr>
        <w:t>S.A.</w:t>
      </w:r>
      <w:r w:rsidR="00621BD6">
        <w:rPr>
          <w:rFonts w:ascii="Arial" w:hAnsi="Arial" w:cs="Arial"/>
          <w:sz w:val="24"/>
          <w:szCs w:val="24"/>
        </w:rPr>
        <w:t xml:space="preserve"> - </w:t>
      </w:r>
      <w:r w:rsidR="00894392" w:rsidRPr="00621BD6">
        <w:rPr>
          <w:rFonts w:ascii="Arial" w:hAnsi="Arial" w:cs="Arial"/>
          <w:sz w:val="24"/>
          <w:szCs w:val="24"/>
        </w:rPr>
        <w:t>Cicontesa</w:t>
      </w:r>
      <w:r w:rsidRPr="00621BD6">
        <w:rPr>
          <w:rFonts w:ascii="Arial" w:hAnsi="Arial" w:cs="Arial"/>
          <w:sz w:val="24"/>
          <w:szCs w:val="24"/>
        </w:rPr>
        <w:t>,</w:t>
      </w:r>
      <w:r w:rsidR="00621BD6">
        <w:rPr>
          <w:rFonts w:ascii="Arial" w:hAnsi="Arial" w:cs="Arial"/>
          <w:sz w:val="24"/>
          <w:szCs w:val="24"/>
        </w:rPr>
        <w:t xml:space="preserve"> </w:t>
      </w:r>
      <w:r w:rsidRPr="00621BD6">
        <w:rPr>
          <w:rFonts w:ascii="Arial" w:hAnsi="Arial" w:cs="Arial"/>
          <w:sz w:val="24"/>
          <w:szCs w:val="24"/>
        </w:rPr>
        <w:t>a</w:t>
      </w:r>
      <w:r w:rsidR="00621BD6">
        <w:rPr>
          <w:rFonts w:ascii="Arial" w:hAnsi="Arial" w:cs="Arial"/>
          <w:sz w:val="24"/>
          <w:szCs w:val="24"/>
        </w:rPr>
        <w:t xml:space="preserve"> </w:t>
      </w:r>
      <w:r w:rsidRPr="00621BD6">
        <w:rPr>
          <w:rFonts w:ascii="Arial" w:hAnsi="Arial" w:cs="Arial"/>
          <w:sz w:val="24"/>
          <w:szCs w:val="24"/>
        </w:rPr>
        <w:t>celebrar contratos</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venta</w:t>
      </w:r>
      <w:r w:rsidR="00621BD6">
        <w:rPr>
          <w:rFonts w:ascii="Arial" w:hAnsi="Arial" w:cs="Arial"/>
          <w:sz w:val="24"/>
          <w:szCs w:val="24"/>
        </w:rPr>
        <w:t xml:space="preserve"> </w:t>
      </w:r>
      <w:r w:rsidRPr="00621BD6">
        <w:rPr>
          <w:rFonts w:ascii="Arial" w:hAnsi="Arial" w:cs="Arial"/>
          <w:sz w:val="24"/>
          <w:szCs w:val="24"/>
        </w:rPr>
        <w:t>garantizada,</w:t>
      </w:r>
      <w:r w:rsidR="00621BD6">
        <w:rPr>
          <w:rFonts w:ascii="Arial" w:hAnsi="Arial" w:cs="Arial"/>
          <w:sz w:val="24"/>
          <w:szCs w:val="24"/>
        </w:rPr>
        <w:t xml:space="preserve"> </w:t>
      </w:r>
      <w:r w:rsidRPr="00621BD6">
        <w:rPr>
          <w:rFonts w:ascii="Arial" w:hAnsi="Arial" w:cs="Arial"/>
          <w:sz w:val="24"/>
          <w:szCs w:val="24"/>
        </w:rPr>
        <w:t>respecto</w:t>
      </w:r>
      <w:r w:rsidR="00621BD6">
        <w:rPr>
          <w:rFonts w:ascii="Arial" w:hAnsi="Arial" w:cs="Arial"/>
          <w:sz w:val="24"/>
          <w:szCs w:val="24"/>
        </w:rPr>
        <w:t xml:space="preserve"> </w:t>
      </w:r>
      <w:r w:rsidRPr="00621BD6">
        <w:rPr>
          <w:rFonts w:ascii="Arial" w:hAnsi="Arial" w:cs="Arial"/>
          <w:sz w:val="24"/>
          <w:szCs w:val="24"/>
        </w:rPr>
        <w:t>a</w:t>
      </w:r>
      <w:r w:rsidR="00621BD6">
        <w:rPr>
          <w:rFonts w:ascii="Arial" w:hAnsi="Arial" w:cs="Arial"/>
          <w:sz w:val="24"/>
          <w:szCs w:val="24"/>
        </w:rPr>
        <w:t xml:space="preserve"> </w:t>
      </w:r>
      <w:r w:rsidRPr="00621BD6">
        <w:rPr>
          <w:rFonts w:ascii="Arial" w:hAnsi="Arial" w:cs="Arial"/>
          <w:sz w:val="24"/>
          <w:szCs w:val="24"/>
        </w:rPr>
        <w:t>los</w:t>
      </w:r>
      <w:r w:rsidR="00621BD6">
        <w:rPr>
          <w:rFonts w:ascii="Arial" w:hAnsi="Arial" w:cs="Arial"/>
          <w:sz w:val="24"/>
          <w:szCs w:val="24"/>
        </w:rPr>
        <w:t xml:space="preserve"> </w:t>
      </w:r>
      <w:r w:rsidRPr="00621BD6">
        <w:rPr>
          <w:rFonts w:ascii="Arial" w:hAnsi="Arial" w:cs="Arial"/>
          <w:sz w:val="24"/>
          <w:szCs w:val="24"/>
        </w:rPr>
        <w:t>lotes</w:t>
      </w:r>
      <w:r w:rsidR="00621BD6">
        <w:rPr>
          <w:rFonts w:ascii="Arial" w:hAnsi="Arial" w:cs="Arial"/>
          <w:sz w:val="24"/>
          <w:szCs w:val="24"/>
        </w:rPr>
        <w:t xml:space="preserve"> </w:t>
      </w:r>
      <w:r w:rsidRPr="00621BD6">
        <w:rPr>
          <w:rFonts w:ascii="Arial" w:hAnsi="Arial" w:cs="Arial"/>
          <w:sz w:val="24"/>
          <w:szCs w:val="24"/>
        </w:rPr>
        <w:t>que constituyen el área útil de la habilitación urbana, procediendo a la preindependización de los mismos. Asimismo, se deja constancia que la presente anotación preventiva caducará de pleno derecho el</w:t>
      </w:r>
      <w:r w:rsidR="00894392">
        <w:rPr>
          <w:rFonts w:ascii="Arial" w:hAnsi="Arial" w:cs="Arial"/>
          <w:sz w:val="24"/>
          <w:szCs w:val="24"/>
        </w:rPr>
        <w:t xml:space="preserve"> </w:t>
      </w:r>
      <w:r w:rsidRPr="00621BD6">
        <w:rPr>
          <w:rFonts w:ascii="Arial" w:hAnsi="Arial" w:cs="Arial"/>
          <w:sz w:val="24"/>
          <w:szCs w:val="24"/>
        </w:rPr>
        <w:t>12.03.2015, conforme lo dispone el artículo 11 de la Ley N</w:t>
      </w:r>
      <w:r w:rsidR="00894392">
        <w:rPr>
          <w:rFonts w:ascii="Arial" w:hAnsi="Arial" w:cs="Arial"/>
          <w:sz w:val="24"/>
          <w:szCs w:val="24"/>
        </w:rPr>
        <w:t>.</w:t>
      </w:r>
      <w:r w:rsidRPr="00621BD6">
        <w:rPr>
          <w:rFonts w:ascii="Arial" w:hAnsi="Arial" w:cs="Arial"/>
          <w:sz w:val="24"/>
          <w:szCs w:val="24"/>
        </w:rPr>
        <w:t>° 29090.</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Así consta en el título archivado 559123 del 03.06.2014.</w:t>
      </w:r>
    </w:p>
    <w:p w:rsidR="00621BD6" w:rsidRDefault="00894392"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MS Gothic" w:eastAsia="MS Gothic" w:hAnsi="MS Gothic" w:cs="MS Gothic" w:hint="eastAsia"/>
          <w:sz w:val="24"/>
          <w:szCs w:val="24"/>
        </w:rPr>
        <w:t>❖</w:t>
      </w:r>
      <w:r>
        <w:rPr>
          <w:rFonts w:ascii="Arial" w:hAnsi="Arial" w:cs="Segoe UI Symbol"/>
          <w:sz w:val="24"/>
          <w:szCs w:val="24"/>
        </w:rPr>
        <w:t xml:space="preserve"> </w:t>
      </w:r>
      <w:r w:rsidR="00207B9C" w:rsidRPr="00621BD6">
        <w:rPr>
          <w:rFonts w:ascii="Arial" w:hAnsi="Arial" w:cs="Arial"/>
          <w:sz w:val="24"/>
          <w:szCs w:val="24"/>
        </w:rPr>
        <w:t>Se deja constancia que no consta inscrita la recepción de obras.</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V.</w:t>
      </w:r>
      <w:r w:rsidR="00621BD6">
        <w:rPr>
          <w:rFonts w:ascii="Arial" w:hAnsi="Arial" w:cs="Arial"/>
          <w:b/>
          <w:bCs/>
          <w:sz w:val="24"/>
          <w:szCs w:val="24"/>
        </w:rPr>
        <w:t xml:space="preserve"> </w:t>
      </w:r>
      <w:r w:rsidRPr="00621BD6">
        <w:rPr>
          <w:rFonts w:ascii="Arial" w:hAnsi="Arial" w:cs="Arial"/>
          <w:b/>
          <w:bCs/>
          <w:sz w:val="24"/>
          <w:szCs w:val="24"/>
        </w:rPr>
        <w:t>P</w:t>
      </w:r>
      <w:r w:rsidR="00894392" w:rsidRPr="00621BD6">
        <w:rPr>
          <w:rFonts w:ascii="Arial" w:hAnsi="Arial" w:cs="Arial"/>
          <w:b/>
          <w:bCs/>
          <w:sz w:val="24"/>
          <w:szCs w:val="24"/>
        </w:rPr>
        <w:t>lanteamiento de la cuestión</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Interviene como ponente la vocal Beatriz Cruz Peñaherrera. De lo expuesto y d</w:t>
      </w:r>
      <w:r w:rsidR="00894392" w:rsidRPr="00621BD6">
        <w:rPr>
          <w:rFonts w:ascii="Arial" w:hAnsi="Arial" w:cs="Arial"/>
          <w:sz w:val="24"/>
          <w:szCs w:val="24"/>
        </w:rPr>
        <w:t>el análisis del caso, a criterio de esta sala corresponde determinar:</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Times New Roman"/>
          <w:sz w:val="24"/>
          <w:szCs w:val="24"/>
        </w:rPr>
        <w:t>▪</w:t>
      </w:r>
      <w:r w:rsidR="00621BD6">
        <w:rPr>
          <w:rFonts w:ascii="Arial" w:hAnsi="Arial" w:cs="Times New Roman"/>
          <w:sz w:val="24"/>
          <w:szCs w:val="24"/>
        </w:rPr>
        <w:t xml:space="preserve"> </w:t>
      </w:r>
      <w:r w:rsidRPr="00621BD6">
        <w:rPr>
          <w:rFonts w:ascii="Arial" w:hAnsi="Arial" w:cs="Arial"/>
          <w:sz w:val="24"/>
          <w:szCs w:val="24"/>
        </w:rPr>
        <w:t>¿Cuál es el plazo de vigencia de la anotación preventiva de proyecto de habilitación urbana y de las preindependizaciones derivadas de ella?</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VI.</w:t>
      </w:r>
      <w:r w:rsidR="00621BD6">
        <w:rPr>
          <w:rFonts w:ascii="Arial" w:hAnsi="Arial" w:cs="Arial"/>
          <w:b/>
          <w:bCs/>
          <w:sz w:val="24"/>
          <w:szCs w:val="24"/>
        </w:rPr>
        <w:t xml:space="preserve"> </w:t>
      </w:r>
      <w:r w:rsidR="00894392" w:rsidRPr="00621BD6">
        <w:rPr>
          <w:rFonts w:ascii="Arial" w:hAnsi="Arial" w:cs="Arial"/>
          <w:b/>
          <w:bCs/>
          <w:sz w:val="24"/>
          <w:szCs w:val="24"/>
        </w:rPr>
        <w:t>Análisis</w:t>
      </w:r>
    </w:p>
    <w:p w:rsid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1.</w:t>
      </w:r>
      <w:r w:rsidR="00621BD6">
        <w:rPr>
          <w:rFonts w:ascii="Arial" w:hAnsi="Arial" w:cs="Arial"/>
          <w:b/>
          <w:bCs/>
          <w:sz w:val="24"/>
          <w:szCs w:val="24"/>
        </w:rPr>
        <w:t xml:space="preserve"> </w:t>
      </w:r>
      <w:r w:rsidRPr="00621BD6">
        <w:rPr>
          <w:rFonts w:ascii="Arial" w:hAnsi="Arial" w:cs="Arial"/>
          <w:sz w:val="24"/>
          <w:szCs w:val="24"/>
        </w:rPr>
        <w:t xml:space="preserve">Con el título venido en grado de apelación se solicita, a través del Sistema de Intermediación Digital </w:t>
      </w:r>
      <w:r w:rsidR="00621BD6">
        <w:rPr>
          <w:rFonts w:ascii="Arial" w:hAnsi="Arial" w:cs="Arial"/>
          <w:sz w:val="24"/>
          <w:szCs w:val="24"/>
        </w:rPr>
        <w:t>-</w:t>
      </w:r>
      <w:r w:rsidRPr="00621BD6">
        <w:rPr>
          <w:rFonts w:ascii="Arial" w:hAnsi="Arial" w:cs="Arial"/>
          <w:sz w:val="24"/>
          <w:szCs w:val="24"/>
        </w:rPr>
        <w:t xml:space="preserve"> SID </w:t>
      </w:r>
      <w:r w:rsidR="00621BD6">
        <w:rPr>
          <w:rFonts w:ascii="Arial" w:hAnsi="Arial" w:cs="Arial"/>
          <w:sz w:val="24"/>
          <w:szCs w:val="24"/>
        </w:rPr>
        <w:t>Sunarp</w:t>
      </w:r>
      <w:r w:rsidRPr="00621BD6">
        <w:rPr>
          <w:rFonts w:ascii="Arial" w:hAnsi="Arial" w:cs="Arial"/>
          <w:sz w:val="24"/>
          <w:szCs w:val="24"/>
        </w:rPr>
        <w:t>, la inscripción de la compraventa celebrada por la Compañía Inmobiliaria Constructora y de</w:t>
      </w:r>
      <w:r w:rsidR="00621BD6">
        <w:rPr>
          <w:rFonts w:ascii="Arial" w:hAnsi="Arial" w:cs="Arial"/>
          <w:sz w:val="24"/>
          <w:szCs w:val="24"/>
        </w:rPr>
        <w:t xml:space="preserve"> </w:t>
      </w:r>
      <w:r w:rsidRPr="00621BD6">
        <w:rPr>
          <w:rFonts w:ascii="Arial" w:hAnsi="Arial" w:cs="Arial"/>
          <w:sz w:val="24"/>
          <w:szCs w:val="24"/>
        </w:rPr>
        <w:t>Transportes Estrella Andina S.A. (</w:t>
      </w:r>
      <w:r w:rsidR="00894392" w:rsidRPr="00621BD6">
        <w:rPr>
          <w:rFonts w:ascii="Arial" w:hAnsi="Arial" w:cs="Arial"/>
          <w:sz w:val="24"/>
          <w:szCs w:val="24"/>
        </w:rPr>
        <w:t>Cicontesa</w:t>
      </w:r>
      <w:r w:rsidRPr="00621BD6">
        <w:rPr>
          <w:rFonts w:ascii="Arial" w:hAnsi="Arial" w:cs="Arial"/>
          <w:sz w:val="24"/>
          <w:szCs w:val="24"/>
        </w:rPr>
        <w:t>) a favor de Abel</w:t>
      </w:r>
      <w:r w:rsidR="00621BD6">
        <w:rPr>
          <w:rFonts w:ascii="Arial" w:hAnsi="Arial" w:cs="Arial"/>
          <w:sz w:val="24"/>
          <w:szCs w:val="24"/>
        </w:rPr>
        <w:t xml:space="preserve"> </w:t>
      </w:r>
      <w:r w:rsidRPr="00621BD6">
        <w:rPr>
          <w:rFonts w:ascii="Arial" w:hAnsi="Arial" w:cs="Arial"/>
          <w:sz w:val="24"/>
          <w:szCs w:val="24"/>
        </w:rPr>
        <w:t xml:space="preserve">Cabrera Sánchez, sobre el inmueble registrado en la </w:t>
      </w:r>
      <w:r w:rsidR="00894392" w:rsidRPr="00621BD6">
        <w:rPr>
          <w:rFonts w:ascii="Arial" w:hAnsi="Arial" w:cs="Arial"/>
          <w:sz w:val="24"/>
          <w:szCs w:val="24"/>
        </w:rPr>
        <w:t>Partida Registral</w:t>
      </w:r>
      <w:r w:rsidR="00894392">
        <w:rPr>
          <w:rFonts w:ascii="Arial" w:hAnsi="Arial" w:cs="Arial"/>
          <w:sz w:val="24"/>
          <w:szCs w:val="24"/>
        </w:rPr>
        <w:t xml:space="preserve"> </w:t>
      </w:r>
      <w:r w:rsidRPr="00621BD6">
        <w:rPr>
          <w:rFonts w:ascii="Arial" w:hAnsi="Arial" w:cs="Arial"/>
          <w:sz w:val="24"/>
          <w:szCs w:val="24"/>
        </w:rPr>
        <w:t>N° P03303647 del Registro de Predios de Lima.</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8"/>
        </w:rPr>
      </w:pPr>
      <w:r w:rsidRPr="00621BD6">
        <w:rPr>
          <w:rFonts w:ascii="Arial" w:hAnsi="Arial" w:cs="Arial"/>
          <w:sz w:val="24"/>
          <w:szCs w:val="24"/>
        </w:rPr>
        <w:lastRenderedPageBreak/>
        <w:t>La registradora formula observación señalando que revisada la partida P03303647, donde consta inscrito el predio materia de compraventa, se advierte</w:t>
      </w:r>
      <w:r w:rsidR="00621BD6">
        <w:rPr>
          <w:rFonts w:ascii="Arial" w:hAnsi="Arial" w:cs="Arial"/>
          <w:sz w:val="24"/>
          <w:szCs w:val="24"/>
        </w:rPr>
        <w:t xml:space="preserve"> </w:t>
      </w:r>
      <w:r w:rsidRPr="00621BD6">
        <w:rPr>
          <w:rFonts w:ascii="Arial" w:hAnsi="Arial" w:cs="Arial"/>
          <w:sz w:val="24"/>
          <w:szCs w:val="24"/>
        </w:rPr>
        <w:t>que</w:t>
      </w:r>
      <w:r w:rsidR="00894392">
        <w:rPr>
          <w:rFonts w:ascii="Arial" w:hAnsi="Arial" w:cs="Arial"/>
          <w:sz w:val="24"/>
          <w:szCs w:val="24"/>
        </w:rPr>
        <w:t xml:space="preserve"> </w:t>
      </w:r>
      <w:r w:rsidR="00894392" w:rsidRPr="00621BD6">
        <w:rPr>
          <w:rFonts w:ascii="Arial" w:hAnsi="Arial" w:cs="Arial"/>
          <w:sz w:val="24"/>
          <w:szCs w:val="24"/>
        </w:rPr>
        <w:t>dicha</w:t>
      </w:r>
      <w:r w:rsidR="00894392">
        <w:rPr>
          <w:rFonts w:ascii="Arial" w:hAnsi="Arial" w:cs="Arial"/>
          <w:sz w:val="24"/>
          <w:szCs w:val="24"/>
        </w:rPr>
        <w:t xml:space="preserve"> </w:t>
      </w:r>
      <w:r w:rsidR="00894392" w:rsidRPr="00621BD6">
        <w:rPr>
          <w:rFonts w:ascii="Arial" w:hAnsi="Arial" w:cs="Arial"/>
          <w:sz w:val="24"/>
          <w:szCs w:val="24"/>
        </w:rPr>
        <w:t>partida</w:t>
      </w:r>
      <w:r w:rsidR="00894392">
        <w:rPr>
          <w:rFonts w:ascii="Arial" w:hAnsi="Arial" w:cs="Arial"/>
          <w:sz w:val="24"/>
          <w:szCs w:val="24"/>
        </w:rPr>
        <w:t xml:space="preserve"> </w:t>
      </w:r>
      <w:r w:rsidR="00894392" w:rsidRPr="00621BD6">
        <w:rPr>
          <w:rFonts w:ascii="Arial" w:hAnsi="Arial" w:cs="Arial"/>
          <w:sz w:val="24"/>
          <w:szCs w:val="24"/>
        </w:rPr>
        <w:t>se</w:t>
      </w:r>
      <w:r w:rsidR="00894392">
        <w:rPr>
          <w:rFonts w:ascii="Arial" w:hAnsi="Arial" w:cs="Arial"/>
          <w:sz w:val="24"/>
          <w:szCs w:val="24"/>
        </w:rPr>
        <w:t xml:space="preserve"> </w:t>
      </w:r>
      <w:r w:rsidR="00894392" w:rsidRPr="00621BD6">
        <w:rPr>
          <w:rFonts w:ascii="Arial" w:hAnsi="Arial" w:cs="Arial"/>
          <w:sz w:val="24"/>
          <w:szCs w:val="24"/>
        </w:rPr>
        <w:t>encuentra</w:t>
      </w:r>
      <w:r w:rsidR="00894392">
        <w:rPr>
          <w:rFonts w:ascii="Arial" w:hAnsi="Arial" w:cs="Arial"/>
          <w:sz w:val="24"/>
          <w:szCs w:val="24"/>
        </w:rPr>
        <w:t xml:space="preserve"> </w:t>
      </w:r>
      <w:r w:rsidR="00894392" w:rsidRPr="00621BD6">
        <w:rPr>
          <w:rFonts w:ascii="Arial" w:hAnsi="Arial" w:cs="Arial"/>
          <w:sz w:val="24"/>
          <w:szCs w:val="24"/>
        </w:rPr>
        <w:t>con</w:t>
      </w:r>
      <w:r w:rsidR="00894392">
        <w:rPr>
          <w:rFonts w:ascii="Arial" w:hAnsi="Arial" w:cs="Arial"/>
          <w:sz w:val="24"/>
          <w:szCs w:val="24"/>
        </w:rPr>
        <w:t xml:space="preserve"> </w:t>
      </w:r>
      <w:r w:rsidR="00894392" w:rsidRPr="00621BD6">
        <w:rPr>
          <w:rFonts w:ascii="Arial" w:hAnsi="Arial" w:cs="Arial"/>
          <w:sz w:val="24"/>
          <w:szCs w:val="24"/>
        </w:rPr>
        <w:t>preindependización</w:t>
      </w:r>
      <w:r w:rsidR="00894392">
        <w:rPr>
          <w:rFonts w:ascii="Arial" w:hAnsi="Arial" w:cs="Arial"/>
          <w:sz w:val="24"/>
          <w:szCs w:val="24"/>
        </w:rPr>
        <w:t xml:space="preserve"> </w:t>
      </w:r>
      <w:r w:rsidR="00894392" w:rsidRPr="00621BD6">
        <w:rPr>
          <w:rFonts w:ascii="Arial" w:hAnsi="Arial" w:cs="Arial"/>
          <w:sz w:val="24"/>
          <w:szCs w:val="24"/>
        </w:rPr>
        <w:t>por anotación</w:t>
      </w:r>
      <w:r w:rsidR="00894392">
        <w:rPr>
          <w:rFonts w:ascii="Arial" w:hAnsi="Arial" w:cs="Arial"/>
          <w:sz w:val="24"/>
          <w:szCs w:val="24"/>
        </w:rPr>
        <w:t xml:space="preserve"> </w:t>
      </w:r>
      <w:r w:rsidR="00894392" w:rsidRPr="00621BD6">
        <w:rPr>
          <w:rFonts w:ascii="Arial" w:hAnsi="Arial" w:cs="Arial"/>
          <w:sz w:val="24"/>
          <w:szCs w:val="24"/>
        </w:rPr>
        <w:t>preventiva</w:t>
      </w:r>
      <w:r w:rsidR="00894392">
        <w:rPr>
          <w:rFonts w:ascii="Arial" w:hAnsi="Arial" w:cs="Arial"/>
          <w:sz w:val="24"/>
          <w:szCs w:val="24"/>
        </w:rPr>
        <w:t xml:space="preserve"> </w:t>
      </w:r>
      <w:r w:rsidR="00894392" w:rsidRPr="00621BD6">
        <w:rPr>
          <w:rFonts w:ascii="Arial" w:hAnsi="Arial" w:cs="Arial"/>
          <w:sz w:val="24"/>
          <w:szCs w:val="24"/>
        </w:rPr>
        <w:t>del</w:t>
      </w:r>
      <w:r w:rsidR="00894392">
        <w:rPr>
          <w:rFonts w:ascii="Arial" w:hAnsi="Arial" w:cs="Arial"/>
          <w:sz w:val="24"/>
          <w:szCs w:val="24"/>
        </w:rPr>
        <w:t xml:space="preserve"> </w:t>
      </w:r>
      <w:r w:rsidR="00894392" w:rsidRPr="00621BD6">
        <w:rPr>
          <w:rFonts w:ascii="Arial" w:hAnsi="Arial" w:cs="Arial"/>
          <w:sz w:val="24"/>
          <w:szCs w:val="24"/>
        </w:rPr>
        <w:t>proyecto</w:t>
      </w:r>
      <w:r w:rsidR="00894392">
        <w:rPr>
          <w:rFonts w:ascii="Arial" w:hAnsi="Arial" w:cs="Arial"/>
          <w:sz w:val="24"/>
          <w:szCs w:val="24"/>
        </w:rPr>
        <w:t xml:space="preserve"> </w:t>
      </w:r>
      <w:r w:rsidR="00894392" w:rsidRPr="00621BD6">
        <w:rPr>
          <w:rFonts w:ascii="Arial" w:hAnsi="Arial" w:cs="Arial"/>
          <w:sz w:val="24"/>
          <w:szCs w:val="24"/>
        </w:rPr>
        <w:t>de</w:t>
      </w:r>
      <w:r w:rsidR="00894392">
        <w:rPr>
          <w:rFonts w:ascii="Arial" w:hAnsi="Arial" w:cs="Arial"/>
          <w:sz w:val="24"/>
          <w:szCs w:val="24"/>
        </w:rPr>
        <w:t xml:space="preserve"> </w:t>
      </w:r>
      <w:r w:rsidR="00894392" w:rsidRPr="00621BD6">
        <w:rPr>
          <w:rFonts w:ascii="Arial" w:hAnsi="Arial" w:cs="Arial"/>
          <w:sz w:val="24"/>
          <w:szCs w:val="24"/>
        </w:rPr>
        <w:t>habilitación</w:t>
      </w:r>
      <w:r w:rsidR="00894392">
        <w:rPr>
          <w:rFonts w:ascii="Arial" w:hAnsi="Arial" w:cs="Arial"/>
          <w:sz w:val="24"/>
          <w:szCs w:val="24"/>
        </w:rPr>
        <w:t xml:space="preserve"> </w:t>
      </w:r>
      <w:r w:rsidR="00894392" w:rsidRPr="00621BD6">
        <w:rPr>
          <w:rFonts w:ascii="Arial" w:hAnsi="Arial" w:cs="Arial"/>
          <w:sz w:val="24"/>
          <w:szCs w:val="24"/>
        </w:rPr>
        <w:t>urbana</w:t>
      </w:r>
      <w:r w:rsidR="00894392">
        <w:rPr>
          <w:rFonts w:ascii="Arial" w:hAnsi="Arial" w:cs="Arial"/>
          <w:sz w:val="24"/>
          <w:szCs w:val="24"/>
        </w:rPr>
        <w:t xml:space="preserve"> </w:t>
      </w:r>
      <w:r w:rsidR="00894392" w:rsidRPr="00621BD6">
        <w:rPr>
          <w:rFonts w:ascii="Arial" w:hAnsi="Arial" w:cs="Arial"/>
          <w:sz w:val="24"/>
          <w:szCs w:val="24"/>
        </w:rPr>
        <w:t>con</w:t>
      </w:r>
      <w:r w:rsidR="00894392">
        <w:rPr>
          <w:rFonts w:ascii="Arial" w:hAnsi="Arial" w:cs="Arial"/>
          <w:sz w:val="24"/>
          <w:szCs w:val="24"/>
        </w:rPr>
        <w:t xml:space="preserve"> </w:t>
      </w:r>
      <w:r w:rsidR="00894392" w:rsidRPr="00621BD6">
        <w:rPr>
          <w:rFonts w:ascii="Arial" w:hAnsi="Arial" w:cs="Arial"/>
          <w:sz w:val="24"/>
          <w:szCs w:val="24"/>
        </w:rPr>
        <w:t>autoriza</w:t>
      </w:r>
      <w:r w:rsidRPr="00621BD6">
        <w:rPr>
          <w:rFonts w:ascii="Arial" w:hAnsi="Arial" w:cs="Arial"/>
          <w:sz w:val="24"/>
          <w:szCs w:val="24"/>
        </w:rPr>
        <w:t>ción para celebrar co</w:t>
      </w:r>
      <w:r w:rsidR="00894392" w:rsidRPr="00621BD6">
        <w:rPr>
          <w:rFonts w:ascii="Arial" w:hAnsi="Arial" w:cs="Arial"/>
          <w:sz w:val="24"/>
          <w:szCs w:val="24"/>
        </w:rPr>
        <w:t>ntratos de venta garant</w:t>
      </w:r>
      <w:r w:rsidRPr="00621BD6">
        <w:rPr>
          <w:rFonts w:ascii="Arial" w:hAnsi="Arial" w:cs="Arial"/>
          <w:sz w:val="24"/>
          <w:szCs w:val="24"/>
        </w:rPr>
        <w:t>izada. Por tanto,</w:t>
      </w:r>
      <w:r w:rsidR="00894392">
        <w:rPr>
          <w:rFonts w:ascii="Arial" w:hAnsi="Arial" w:cs="Arial"/>
          <w:sz w:val="24"/>
          <w:szCs w:val="24"/>
        </w:rPr>
        <w:t xml:space="preserve"> </w:t>
      </w:r>
      <w:r w:rsidRPr="00621BD6">
        <w:rPr>
          <w:rFonts w:ascii="Arial" w:hAnsi="Arial"/>
          <w:sz w:val="24"/>
          <w:szCs w:val="23"/>
        </w:rPr>
        <w:t>previamente deberá inscribirse en forma definitiva la recepción de obras, de acuerdo al artículo 44 del Reglamento de Inscripciones de Registro de Predios. Asimismo, deja constancia que la anotación preventiva de preindependización caducó el 12/02/2005, conforme lo dispone el artículo 11 de la Ley 29090.</w:t>
      </w:r>
    </w:p>
    <w:p w:rsidR="00207B9C" w:rsidRPr="00621BD6" w:rsidRDefault="00207B9C"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Por su parte, el recurrente cuestiona dicha decisión de acuerdo a los</w:t>
      </w:r>
      <w:r w:rsidR="00894392">
        <w:rPr>
          <w:rFonts w:ascii="Arial" w:hAnsi="Arial" w:cs="Arial"/>
          <w:sz w:val="24"/>
          <w:szCs w:val="24"/>
        </w:rPr>
        <w:t xml:space="preserve"> </w:t>
      </w:r>
      <w:r w:rsidRPr="00621BD6">
        <w:rPr>
          <w:rFonts w:ascii="Arial" w:hAnsi="Arial" w:cs="Arial"/>
          <w:sz w:val="24"/>
          <w:szCs w:val="24"/>
        </w:rPr>
        <w:t>fundamentos</w:t>
      </w:r>
      <w:r w:rsidR="00621BD6">
        <w:rPr>
          <w:rFonts w:ascii="Arial" w:hAnsi="Arial" w:cs="Arial"/>
          <w:sz w:val="24"/>
          <w:szCs w:val="24"/>
        </w:rPr>
        <w:t xml:space="preserve"> </w:t>
      </w:r>
      <w:r w:rsidRPr="00621BD6">
        <w:rPr>
          <w:rFonts w:ascii="Arial" w:hAnsi="Arial" w:cs="Arial"/>
          <w:sz w:val="24"/>
          <w:szCs w:val="24"/>
        </w:rPr>
        <w:t>expuestos</w:t>
      </w:r>
      <w:r w:rsidR="00621BD6">
        <w:rPr>
          <w:rFonts w:ascii="Arial" w:hAnsi="Arial" w:cs="Arial"/>
          <w:sz w:val="24"/>
          <w:szCs w:val="24"/>
        </w:rPr>
        <w:t xml:space="preserve"> </w:t>
      </w:r>
      <w:r w:rsidRPr="00621BD6">
        <w:rPr>
          <w:rFonts w:ascii="Arial" w:hAnsi="Arial" w:cs="Arial"/>
          <w:sz w:val="24"/>
          <w:szCs w:val="24"/>
        </w:rPr>
        <w:t>en</w:t>
      </w:r>
      <w:r w:rsidR="00621BD6">
        <w:rPr>
          <w:rFonts w:ascii="Arial" w:hAnsi="Arial" w:cs="Arial"/>
          <w:sz w:val="24"/>
          <w:szCs w:val="24"/>
        </w:rPr>
        <w:t xml:space="preserve"> </w:t>
      </w:r>
      <w:r w:rsidRPr="00621BD6">
        <w:rPr>
          <w:rFonts w:ascii="Arial" w:hAnsi="Arial" w:cs="Arial"/>
          <w:sz w:val="24"/>
          <w:szCs w:val="24"/>
        </w:rPr>
        <w:t>el</w:t>
      </w:r>
      <w:r w:rsidR="00621BD6">
        <w:rPr>
          <w:rFonts w:ascii="Arial" w:hAnsi="Arial" w:cs="Arial"/>
          <w:sz w:val="24"/>
          <w:szCs w:val="24"/>
        </w:rPr>
        <w:t xml:space="preserve"> </w:t>
      </w:r>
      <w:r w:rsidRPr="00621BD6">
        <w:rPr>
          <w:rFonts w:ascii="Arial" w:hAnsi="Arial" w:cs="Arial"/>
          <w:sz w:val="24"/>
          <w:szCs w:val="24"/>
        </w:rPr>
        <w:t>rubro</w:t>
      </w:r>
      <w:r w:rsidR="00621BD6">
        <w:rPr>
          <w:rFonts w:ascii="Arial" w:hAnsi="Arial" w:cs="Arial"/>
          <w:sz w:val="24"/>
          <w:szCs w:val="24"/>
        </w:rPr>
        <w:t xml:space="preserve"> </w:t>
      </w:r>
      <w:r w:rsidRPr="00621BD6">
        <w:rPr>
          <w:rFonts w:ascii="Arial" w:hAnsi="Arial" w:cs="Arial"/>
          <w:sz w:val="24"/>
          <w:szCs w:val="24"/>
        </w:rPr>
        <w:t>III</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la</w:t>
      </w:r>
      <w:r w:rsidR="00621BD6">
        <w:rPr>
          <w:rFonts w:ascii="Arial" w:hAnsi="Arial" w:cs="Arial"/>
          <w:sz w:val="24"/>
          <w:szCs w:val="24"/>
        </w:rPr>
        <w:t xml:space="preserve"> </w:t>
      </w:r>
      <w:r w:rsidRPr="00621BD6">
        <w:rPr>
          <w:rFonts w:ascii="Arial" w:hAnsi="Arial" w:cs="Arial"/>
          <w:sz w:val="24"/>
          <w:szCs w:val="24"/>
        </w:rPr>
        <w:t>presente</w:t>
      </w:r>
      <w:r w:rsidR="00621BD6">
        <w:rPr>
          <w:rFonts w:ascii="Arial" w:hAnsi="Arial" w:cs="Arial"/>
          <w:sz w:val="24"/>
          <w:szCs w:val="24"/>
        </w:rPr>
        <w:t xml:space="preserve"> </w:t>
      </w:r>
      <w:r w:rsidRPr="00621BD6">
        <w:rPr>
          <w:rFonts w:ascii="Arial" w:hAnsi="Arial" w:cs="Arial"/>
          <w:sz w:val="24"/>
          <w:szCs w:val="24"/>
        </w:rPr>
        <w:t>resolución interponiendo</w:t>
      </w:r>
      <w:r w:rsidR="00621BD6">
        <w:rPr>
          <w:rFonts w:ascii="Arial" w:hAnsi="Arial" w:cs="Arial"/>
          <w:sz w:val="24"/>
          <w:szCs w:val="24"/>
        </w:rPr>
        <w:t xml:space="preserve"> </w:t>
      </w:r>
      <w:r w:rsidRPr="00621BD6">
        <w:rPr>
          <w:rFonts w:ascii="Arial" w:hAnsi="Arial" w:cs="Arial"/>
          <w:sz w:val="24"/>
          <w:szCs w:val="24"/>
        </w:rPr>
        <w:t>el</w:t>
      </w:r>
      <w:r w:rsidR="00621BD6">
        <w:rPr>
          <w:rFonts w:ascii="Arial" w:hAnsi="Arial" w:cs="Arial"/>
          <w:sz w:val="24"/>
          <w:szCs w:val="24"/>
        </w:rPr>
        <w:t xml:space="preserve"> </w:t>
      </w:r>
      <w:r w:rsidRPr="00621BD6">
        <w:rPr>
          <w:rFonts w:ascii="Arial" w:hAnsi="Arial" w:cs="Arial"/>
          <w:sz w:val="24"/>
          <w:szCs w:val="24"/>
        </w:rPr>
        <w:t>recurso</w:t>
      </w:r>
      <w:r w:rsidR="00621BD6">
        <w:rPr>
          <w:rFonts w:ascii="Arial" w:hAnsi="Arial" w:cs="Arial"/>
          <w:sz w:val="24"/>
          <w:szCs w:val="24"/>
        </w:rPr>
        <w:t xml:space="preserve"> </w:t>
      </w:r>
      <w:r w:rsidRPr="00621BD6">
        <w:rPr>
          <w:rFonts w:ascii="Arial" w:hAnsi="Arial" w:cs="Arial"/>
          <w:sz w:val="24"/>
          <w:szCs w:val="24"/>
        </w:rPr>
        <w:t>de</w:t>
      </w:r>
      <w:r w:rsidR="00621BD6">
        <w:rPr>
          <w:rFonts w:ascii="Arial" w:hAnsi="Arial" w:cs="Arial"/>
          <w:sz w:val="24"/>
          <w:szCs w:val="24"/>
        </w:rPr>
        <w:t xml:space="preserve"> </w:t>
      </w:r>
      <w:r w:rsidRPr="00621BD6">
        <w:rPr>
          <w:rFonts w:ascii="Arial" w:hAnsi="Arial" w:cs="Arial"/>
          <w:sz w:val="24"/>
          <w:szCs w:val="24"/>
        </w:rPr>
        <w:t>apelación</w:t>
      </w:r>
      <w:r w:rsidR="00621BD6">
        <w:rPr>
          <w:rFonts w:ascii="Arial" w:hAnsi="Arial" w:cs="Arial"/>
          <w:sz w:val="24"/>
          <w:szCs w:val="24"/>
        </w:rPr>
        <w:t xml:space="preserve"> </w:t>
      </w:r>
      <w:r w:rsidRPr="00621BD6">
        <w:rPr>
          <w:rFonts w:ascii="Arial" w:hAnsi="Arial" w:cs="Arial"/>
          <w:sz w:val="24"/>
          <w:szCs w:val="24"/>
        </w:rPr>
        <w:t>venido</w:t>
      </w:r>
      <w:r w:rsidR="00621BD6">
        <w:rPr>
          <w:rFonts w:ascii="Arial" w:hAnsi="Arial" w:cs="Arial"/>
          <w:sz w:val="24"/>
          <w:szCs w:val="24"/>
        </w:rPr>
        <w:t xml:space="preserve"> </w:t>
      </w:r>
      <w:r w:rsidRPr="00621BD6">
        <w:rPr>
          <w:rFonts w:ascii="Arial" w:hAnsi="Arial" w:cs="Arial"/>
          <w:sz w:val="24"/>
          <w:szCs w:val="24"/>
        </w:rPr>
        <w:t>en</w:t>
      </w:r>
      <w:r w:rsidR="00621BD6">
        <w:rPr>
          <w:rFonts w:ascii="Arial" w:hAnsi="Arial" w:cs="Arial"/>
          <w:sz w:val="24"/>
          <w:szCs w:val="24"/>
        </w:rPr>
        <w:t xml:space="preserve"> </w:t>
      </w:r>
      <w:r w:rsidRPr="00621BD6">
        <w:rPr>
          <w:rFonts w:ascii="Arial" w:hAnsi="Arial" w:cs="Arial"/>
          <w:sz w:val="24"/>
          <w:szCs w:val="24"/>
        </w:rPr>
        <w:t>grado.</w:t>
      </w:r>
      <w:r w:rsidR="00621BD6">
        <w:rPr>
          <w:rFonts w:ascii="Arial" w:hAnsi="Arial" w:cs="Arial"/>
          <w:sz w:val="24"/>
          <w:szCs w:val="24"/>
        </w:rPr>
        <w:t xml:space="preserve"> </w:t>
      </w:r>
      <w:r w:rsidRPr="00621BD6">
        <w:rPr>
          <w:rFonts w:ascii="Arial" w:hAnsi="Arial" w:cs="Arial"/>
          <w:sz w:val="24"/>
          <w:szCs w:val="24"/>
        </w:rPr>
        <w:t>Por</w:t>
      </w:r>
      <w:r w:rsidR="00621BD6">
        <w:rPr>
          <w:rFonts w:ascii="Arial" w:hAnsi="Arial" w:cs="Arial"/>
          <w:sz w:val="24"/>
          <w:szCs w:val="24"/>
        </w:rPr>
        <w:t xml:space="preserve"> </w:t>
      </w:r>
      <w:r w:rsidRPr="00621BD6">
        <w:rPr>
          <w:rFonts w:ascii="Arial" w:hAnsi="Arial" w:cs="Arial"/>
          <w:sz w:val="24"/>
          <w:szCs w:val="24"/>
        </w:rPr>
        <w:t>lo</w:t>
      </w:r>
      <w:r w:rsidR="00621BD6">
        <w:rPr>
          <w:rFonts w:ascii="Arial" w:hAnsi="Arial" w:cs="Arial"/>
          <w:sz w:val="24"/>
          <w:szCs w:val="24"/>
        </w:rPr>
        <w:t xml:space="preserve"> </w:t>
      </w:r>
      <w:r w:rsidRPr="00621BD6">
        <w:rPr>
          <w:rFonts w:ascii="Arial" w:hAnsi="Arial" w:cs="Arial"/>
          <w:sz w:val="24"/>
          <w:szCs w:val="24"/>
        </w:rPr>
        <w:t>que</w:t>
      </w:r>
      <w:r w:rsidR="00894392">
        <w:rPr>
          <w:rFonts w:ascii="Arial" w:hAnsi="Arial" w:cs="Arial"/>
          <w:sz w:val="24"/>
          <w:szCs w:val="24"/>
        </w:rPr>
        <w:t xml:space="preserve"> </w:t>
      </w:r>
      <w:r w:rsidRPr="00621BD6">
        <w:rPr>
          <w:rFonts w:ascii="Arial" w:hAnsi="Arial" w:cs="Arial"/>
          <w:sz w:val="24"/>
          <w:szCs w:val="24"/>
        </w:rPr>
        <w:t>corresponde a esta instancia determinar la procedencia de lo solicitado.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2.</w:t>
      </w:r>
      <w:r>
        <w:rPr>
          <w:rFonts w:ascii="Arial" w:hAnsi="Arial" w:cs="Arial"/>
          <w:b/>
          <w:bCs/>
          <w:sz w:val="24"/>
          <w:szCs w:val="24"/>
        </w:rPr>
        <w:t xml:space="preserve"> </w:t>
      </w:r>
      <w:r w:rsidRPr="00621BD6">
        <w:rPr>
          <w:rFonts w:ascii="Arial" w:hAnsi="Arial" w:cs="Arial"/>
          <w:sz w:val="24"/>
          <w:szCs w:val="24"/>
        </w:rPr>
        <w:t xml:space="preserve">Conforme el rubro IV de Antecedentes Registrales, en la </w:t>
      </w:r>
      <w:r w:rsidR="00894392" w:rsidRPr="00621BD6">
        <w:rPr>
          <w:rFonts w:ascii="Arial" w:hAnsi="Arial" w:cs="Arial"/>
          <w:b/>
          <w:bCs/>
          <w:sz w:val="24"/>
          <w:szCs w:val="24"/>
        </w:rPr>
        <w:t>Partida Registral</w:t>
      </w:r>
      <w:r w:rsidR="00894392">
        <w:rPr>
          <w:rFonts w:ascii="Arial" w:hAnsi="Arial" w:cs="Arial"/>
          <w:b/>
          <w:bCs/>
          <w:sz w:val="24"/>
          <w:szCs w:val="24"/>
        </w:rPr>
        <w:t xml:space="preserve"> </w:t>
      </w:r>
      <w:r w:rsidRPr="00621BD6">
        <w:rPr>
          <w:rFonts w:ascii="Arial" w:hAnsi="Arial" w:cs="Arial"/>
          <w:b/>
          <w:bCs/>
          <w:sz w:val="24"/>
          <w:szCs w:val="24"/>
        </w:rPr>
        <w:t>N.°</w:t>
      </w:r>
      <w:r>
        <w:rPr>
          <w:rFonts w:ascii="Arial" w:hAnsi="Arial" w:cs="Arial"/>
          <w:b/>
          <w:bCs/>
          <w:sz w:val="24"/>
          <w:szCs w:val="24"/>
        </w:rPr>
        <w:t xml:space="preserve"> </w:t>
      </w:r>
      <w:r w:rsidRPr="00621BD6">
        <w:rPr>
          <w:rFonts w:ascii="Arial" w:hAnsi="Arial" w:cs="Arial"/>
          <w:b/>
          <w:bCs/>
          <w:sz w:val="24"/>
          <w:szCs w:val="24"/>
        </w:rPr>
        <w:t>P03303647</w:t>
      </w:r>
      <w:r>
        <w:rPr>
          <w:rFonts w:ascii="Arial" w:hAnsi="Arial" w:cs="Arial"/>
          <w:b/>
          <w:bCs/>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Registro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Predios</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Lima</w:t>
      </w:r>
      <w:r>
        <w:rPr>
          <w:rFonts w:ascii="Arial" w:hAnsi="Arial" w:cs="Arial"/>
          <w:sz w:val="24"/>
          <w:szCs w:val="24"/>
        </w:rPr>
        <w:t xml:space="preserve"> </w:t>
      </w:r>
      <w:r w:rsidRPr="00621BD6">
        <w:rPr>
          <w:rFonts w:ascii="Arial" w:hAnsi="Arial" w:cs="Arial"/>
          <w:sz w:val="24"/>
          <w:szCs w:val="24"/>
        </w:rPr>
        <w:t>obra</w:t>
      </w:r>
      <w:r>
        <w:rPr>
          <w:rFonts w:ascii="Arial" w:hAnsi="Arial" w:cs="Arial"/>
          <w:sz w:val="24"/>
          <w:szCs w:val="24"/>
        </w:rPr>
        <w:t xml:space="preserve"> </w:t>
      </w:r>
      <w:r w:rsidRPr="00621BD6">
        <w:rPr>
          <w:rFonts w:ascii="Arial" w:hAnsi="Arial" w:cs="Arial"/>
          <w:sz w:val="24"/>
          <w:szCs w:val="24"/>
        </w:rPr>
        <w:t>anotado preventivamente el inmueble ubicado en la Mz. G Lote 35 del Programa de</w:t>
      </w:r>
      <w:r>
        <w:rPr>
          <w:rFonts w:ascii="Arial" w:hAnsi="Arial" w:cs="Arial"/>
          <w:sz w:val="24"/>
          <w:szCs w:val="24"/>
        </w:rPr>
        <w:t xml:space="preserve"> </w:t>
      </w:r>
      <w:r w:rsidRPr="00621BD6">
        <w:rPr>
          <w:rFonts w:ascii="Arial" w:hAnsi="Arial" w:cs="Arial"/>
          <w:sz w:val="24"/>
          <w:szCs w:val="24"/>
        </w:rPr>
        <w:t xml:space="preserve">Vivienda </w:t>
      </w:r>
      <w:r w:rsidR="00894392">
        <w:rPr>
          <w:rFonts w:ascii="Arial" w:hAnsi="Arial" w:cs="Arial"/>
          <w:sz w:val="24"/>
          <w:szCs w:val="24"/>
        </w:rPr>
        <w:t>"</w:t>
      </w:r>
      <w:r w:rsidRPr="00621BD6">
        <w:rPr>
          <w:rFonts w:ascii="Arial" w:hAnsi="Arial" w:cs="Arial"/>
          <w:sz w:val="24"/>
          <w:szCs w:val="24"/>
        </w:rPr>
        <w:t>Los Ángeles de Pachacamac 2da Etapa</w:t>
      </w:r>
      <w:r w:rsidR="00894392">
        <w:rPr>
          <w:rFonts w:ascii="Arial" w:hAnsi="Arial" w:cs="Arial"/>
          <w:sz w:val="24"/>
          <w:szCs w:val="24"/>
        </w:rPr>
        <w:t>"</w:t>
      </w:r>
      <w:r w:rsidRPr="00621BD6">
        <w:rPr>
          <w:rFonts w:ascii="Arial" w:hAnsi="Arial" w:cs="Arial"/>
          <w:sz w:val="24"/>
          <w:szCs w:val="24"/>
        </w:rPr>
        <w:t xml:space="preserve"> del distrito de</w:t>
      </w:r>
      <w:r w:rsidR="00894392">
        <w:rPr>
          <w:rFonts w:ascii="Arial" w:hAnsi="Arial" w:cs="Arial"/>
          <w:sz w:val="24"/>
          <w:szCs w:val="24"/>
        </w:rPr>
        <w:t xml:space="preserve"> </w:t>
      </w:r>
      <w:r w:rsidRPr="00621BD6">
        <w:rPr>
          <w:rFonts w:ascii="Arial" w:hAnsi="Arial" w:cs="Arial"/>
          <w:sz w:val="24"/>
          <w:szCs w:val="24"/>
        </w:rPr>
        <w:t>Pachacamac, provincia y departamento de Lima.</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En el asiento 00001 consta el asiento de preindependización derivado de</w:t>
      </w:r>
      <w:r w:rsidR="00894392">
        <w:rPr>
          <w:rFonts w:ascii="Arial" w:hAnsi="Arial" w:cs="Arial"/>
          <w:sz w:val="24"/>
          <w:szCs w:val="24"/>
        </w:rPr>
        <w:t xml:space="preserve"> </w:t>
      </w:r>
      <w:r w:rsidRPr="00621BD6">
        <w:rPr>
          <w:rFonts w:ascii="Arial" w:hAnsi="Arial" w:cs="Arial"/>
          <w:sz w:val="24"/>
          <w:szCs w:val="24"/>
        </w:rPr>
        <w:t>la anotación preventiva del</w:t>
      </w:r>
      <w:r w:rsidR="00894392" w:rsidRPr="00621BD6">
        <w:rPr>
          <w:rFonts w:ascii="Arial" w:hAnsi="Arial" w:cs="Arial"/>
          <w:sz w:val="24"/>
          <w:szCs w:val="24"/>
        </w:rPr>
        <w:t xml:space="preserve"> proyecto de habilitación urbana de l</w:t>
      </w:r>
      <w:r w:rsidRPr="00621BD6">
        <w:rPr>
          <w:rFonts w:ascii="Arial" w:hAnsi="Arial" w:cs="Arial"/>
          <w:sz w:val="24"/>
          <w:szCs w:val="24"/>
        </w:rPr>
        <w:t>a partida matriz</w:t>
      </w:r>
      <w:r>
        <w:rPr>
          <w:rFonts w:ascii="Arial" w:hAnsi="Arial" w:cs="Arial"/>
          <w:sz w:val="24"/>
          <w:szCs w:val="24"/>
        </w:rPr>
        <w:t xml:space="preserve"> </w:t>
      </w:r>
      <w:r w:rsidRPr="00621BD6">
        <w:rPr>
          <w:rFonts w:ascii="Arial" w:hAnsi="Arial" w:cs="Arial"/>
          <w:sz w:val="24"/>
          <w:szCs w:val="24"/>
        </w:rPr>
        <w:t>P03154716,</w:t>
      </w:r>
      <w:r>
        <w:rPr>
          <w:rFonts w:ascii="Arial" w:hAnsi="Arial" w:cs="Arial"/>
          <w:sz w:val="24"/>
          <w:szCs w:val="24"/>
        </w:rPr>
        <w:t xml:space="preserve"> </w:t>
      </w:r>
      <w:r w:rsidRPr="00621BD6">
        <w:rPr>
          <w:rFonts w:ascii="Arial" w:hAnsi="Arial" w:cs="Arial"/>
          <w:sz w:val="24"/>
          <w:szCs w:val="24"/>
        </w:rPr>
        <w:t>autorizándose</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Compañía</w:t>
      </w:r>
      <w:r>
        <w:rPr>
          <w:rFonts w:ascii="Arial" w:hAnsi="Arial" w:cs="Arial"/>
          <w:sz w:val="24"/>
          <w:szCs w:val="24"/>
        </w:rPr>
        <w:t xml:space="preserve"> </w:t>
      </w:r>
      <w:r w:rsidRPr="00621BD6">
        <w:rPr>
          <w:rFonts w:ascii="Arial" w:hAnsi="Arial" w:cs="Arial"/>
          <w:sz w:val="24"/>
          <w:szCs w:val="24"/>
        </w:rPr>
        <w:t xml:space="preserve">Inmobiliaria Constructora y de Transportes Estrella Andina S.A. </w:t>
      </w:r>
      <w:r>
        <w:rPr>
          <w:rFonts w:ascii="Arial" w:hAnsi="Arial" w:cs="Arial"/>
          <w:sz w:val="24"/>
          <w:szCs w:val="24"/>
        </w:rPr>
        <w:t>-</w:t>
      </w:r>
      <w:r w:rsidRPr="00621BD6">
        <w:rPr>
          <w:rFonts w:ascii="Arial" w:hAnsi="Arial" w:cs="Arial"/>
          <w:sz w:val="24"/>
          <w:szCs w:val="24"/>
        </w:rPr>
        <w:t xml:space="preserve"> </w:t>
      </w:r>
      <w:r w:rsidR="00894392" w:rsidRPr="00621BD6">
        <w:rPr>
          <w:rFonts w:ascii="Arial" w:hAnsi="Arial" w:cs="Arial"/>
          <w:sz w:val="24"/>
          <w:szCs w:val="24"/>
        </w:rPr>
        <w:t>Cicontesa</w:t>
      </w:r>
      <w:r w:rsidRPr="00621BD6">
        <w:rPr>
          <w:rFonts w:ascii="Arial" w:hAnsi="Arial" w:cs="Arial"/>
          <w:sz w:val="24"/>
          <w:szCs w:val="24"/>
        </w:rPr>
        <w:t>, a celebrar</w:t>
      </w:r>
      <w:r>
        <w:rPr>
          <w:rFonts w:ascii="Arial" w:hAnsi="Arial" w:cs="Arial"/>
          <w:sz w:val="24"/>
          <w:szCs w:val="24"/>
        </w:rPr>
        <w:t xml:space="preserve"> </w:t>
      </w:r>
      <w:r w:rsidRPr="00621BD6">
        <w:rPr>
          <w:rFonts w:ascii="Arial" w:hAnsi="Arial" w:cs="Arial"/>
          <w:sz w:val="24"/>
          <w:szCs w:val="24"/>
        </w:rPr>
        <w:t>contratos</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venta</w:t>
      </w:r>
      <w:r>
        <w:rPr>
          <w:rFonts w:ascii="Arial" w:hAnsi="Arial" w:cs="Arial"/>
          <w:sz w:val="24"/>
          <w:szCs w:val="24"/>
        </w:rPr>
        <w:t xml:space="preserve"> </w:t>
      </w:r>
      <w:r w:rsidRPr="00621BD6">
        <w:rPr>
          <w:rFonts w:ascii="Arial" w:hAnsi="Arial" w:cs="Arial"/>
          <w:sz w:val="24"/>
          <w:szCs w:val="24"/>
        </w:rPr>
        <w:t>garantizada,</w:t>
      </w:r>
      <w:r>
        <w:rPr>
          <w:rFonts w:ascii="Arial" w:hAnsi="Arial" w:cs="Arial"/>
          <w:sz w:val="24"/>
          <w:szCs w:val="24"/>
        </w:rPr>
        <w:t xml:space="preserve"> </w:t>
      </w:r>
      <w:r w:rsidRPr="00621BD6">
        <w:rPr>
          <w:rFonts w:ascii="Arial" w:hAnsi="Arial" w:cs="Arial"/>
          <w:sz w:val="24"/>
          <w:szCs w:val="24"/>
        </w:rPr>
        <w:t>respecto</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los</w:t>
      </w:r>
      <w:r>
        <w:rPr>
          <w:rFonts w:ascii="Arial" w:hAnsi="Arial" w:cs="Arial"/>
          <w:sz w:val="24"/>
          <w:szCs w:val="24"/>
        </w:rPr>
        <w:t xml:space="preserve"> </w:t>
      </w:r>
      <w:r w:rsidRPr="00621BD6">
        <w:rPr>
          <w:rFonts w:ascii="Arial" w:hAnsi="Arial" w:cs="Arial"/>
          <w:sz w:val="24"/>
          <w:szCs w:val="24"/>
        </w:rPr>
        <w:t>lotes</w:t>
      </w:r>
      <w:r>
        <w:rPr>
          <w:rFonts w:ascii="Arial" w:hAnsi="Arial" w:cs="Arial"/>
          <w:sz w:val="24"/>
          <w:szCs w:val="24"/>
        </w:rPr>
        <w:t xml:space="preserve"> </w:t>
      </w:r>
      <w:r w:rsidRPr="00621BD6">
        <w:rPr>
          <w:rFonts w:ascii="Arial" w:hAnsi="Arial" w:cs="Arial"/>
          <w:sz w:val="24"/>
          <w:szCs w:val="24"/>
        </w:rPr>
        <w:t>que</w:t>
      </w:r>
      <w:r w:rsidR="00894392">
        <w:rPr>
          <w:rFonts w:ascii="Arial" w:hAnsi="Arial" w:cs="Arial"/>
          <w:sz w:val="24"/>
          <w:szCs w:val="24"/>
        </w:rPr>
        <w:t xml:space="preserve"> </w:t>
      </w:r>
      <w:r w:rsidRPr="00621BD6">
        <w:rPr>
          <w:rFonts w:ascii="Arial" w:hAnsi="Arial" w:cs="Arial"/>
          <w:sz w:val="24"/>
          <w:szCs w:val="24"/>
        </w:rPr>
        <w:t>constituyen el área útil de la habilitación urbana.</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Asimismo,</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deja</w:t>
      </w:r>
      <w:r>
        <w:rPr>
          <w:rFonts w:ascii="Arial" w:hAnsi="Arial" w:cs="Arial"/>
          <w:sz w:val="24"/>
          <w:szCs w:val="24"/>
        </w:rPr>
        <w:t xml:space="preserve"> </w:t>
      </w:r>
      <w:r w:rsidRPr="00621BD6">
        <w:rPr>
          <w:rFonts w:ascii="Arial" w:hAnsi="Arial" w:cs="Arial"/>
          <w:sz w:val="24"/>
          <w:szCs w:val="24"/>
        </w:rPr>
        <w:t>constancia</w:t>
      </w:r>
      <w:r>
        <w:rPr>
          <w:rFonts w:ascii="Arial" w:hAnsi="Arial" w:cs="Arial"/>
          <w:sz w:val="24"/>
          <w:szCs w:val="24"/>
        </w:rPr>
        <w:t xml:space="preserve"> </w:t>
      </w:r>
      <w:r w:rsidRPr="00621BD6">
        <w:rPr>
          <w:rFonts w:ascii="Arial" w:hAnsi="Arial" w:cs="Arial"/>
          <w:sz w:val="24"/>
          <w:szCs w:val="24"/>
        </w:rPr>
        <w:t>que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presente</w:t>
      </w:r>
      <w:r>
        <w:rPr>
          <w:rFonts w:ascii="Arial" w:hAnsi="Arial" w:cs="Arial"/>
          <w:sz w:val="24"/>
          <w:szCs w:val="24"/>
        </w:rPr>
        <w:t xml:space="preserve"> </w:t>
      </w:r>
      <w:r w:rsidRPr="00621BD6">
        <w:rPr>
          <w:rFonts w:ascii="Arial" w:hAnsi="Arial" w:cs="Arial"/>
          <w:sz w:val="24"/>
          <w:szCs w:val="24"/>
        </w:rPr>
        <w:t>preindependización</w:t>
      </w:r>
      <w:r w:rsidR="00894392">
        <w:rPr>
          <w:rFonts w:ascii="Arial" w:hAnsi="Arial" w:cs="Arial"/>
          <w:sz w:val="24"/>
          <w:szCs w:val="24"/>
        </w:rPr>
        <w:t xml:space="preserve"> </w:t>
      </w:r>
      <w:r w:rsidRPr="00621BD6">
        <w:rPr>
          <w:rFonts w:ascii="Arial" w:hAnsi="Arial" w:cs="Arial"/>
          <w:sz w:val="24"/>
          <w:szCs w:val="24"/>
        </w:rPr>
        <w:t>caducará de pleno derecho el 12.03.2015, conforme lo dispone el artículo</w:t>
      </w:r>
      <w:r w:rsidR="00894392">
        <w:rPr>
          <w:rFonts w:ascii="Arial" w:hAnsi="Arial" w:cs="Arial"/>
          <w:sz w:val="24"/>
          <w:szCs w:val="24"/>
        </w:rPr>
        <w:t xml:space="preserve"> </w:t>
      </w:r>
      <w:r w:rsidRPr="00621BD6">
        <w:rPr>
          <w:rFonts w:ascii="Arial" w:hAnsi="Arial" w:cs="Arial"/>
          <w:sz w:val="24"/>
          <w:szCs w:val="24"/>
        </w:rPr>
        <w:t>11 de la Ley N</w:t>
      </w:r>
      <w:r w:rsidR="00894392">
        <w:rPr>
          <w:rFonts w:ascii="Arial" w:hAnsi="Arial" w:cs="Arial"/>
          <w:sz w:val="24"/>
          <w:szCs w:val="24"/>
        </w:rPr>
        <w:t>.</w:t>
      </w:r>
      <w:r w:rsidRPr="00621BD6">
        <w:rPr>
          <w:rFonts w:ascii="Arial" w:hAnsi="Arial" w:cs="Arial"/>
          <w:sz w:val="24"/>
          <w:szCs w:val="24"/>
        </w:rPr>
        <w:t>° 29090. Así consta en el título archivado 559123 del</w:t>
      </w:r>
      <w:r w:rsidR="00894392">
        <w:rPr>
          <w:rFonts w:ascii="Arial" w:hAnsi="Arial" w:cs="Arial"/>
          <w:sz w:val="24"/>
          <w:szCs w:val="24"/>
        </w:rPr>
        <w:t xml:space="preserve"> </w:t>
      </w:r>
      <w:r w:rsidRPr="00621BD6">
        <w:rPr>
          <w:rFonts w:ascii="Arial" w:hAnsi="Arial" w:cs="Arial"/>
          <w:sz w:val="24"/>
          <w:szCs w:val="24"/>
        </w:rPr>
        <w:t>03.06.2014.</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 xml:space="preserve">Por otra parte, en la </w:t>
      </w:r>
      <w:r w:rsidR="00894392" w:rsidRPr="00621BD6">
        <w:rPr>
          <w:rFonts w:ascii="Arial" w:hAnsi="Arial" w:cs="Arial"/>
          <w:b/>
          <w:bCs/>
          <w:sz w:val="24"/>
          <w:szCs w:val="24"/>
        </w:rPr>
        <w:t xml:space="preserve">Partida Registral </w:t>
      </w:r>
      <w:r w:rsidRPr="00621BD6">
        <w:rPr>
          <w:rFonts w:ascii="Arial" w:hAnsi="Arial" w:cs="Arial"/>
          <w:b/>
          <w:bCs/>
          <w:sz w:val="24"/>
          <w:szCs w:val="24"/>
        </w:rPr>
        <w:t xml:space="preserve">N.° P03154716 </w:t>
      </w:r>
      <w:r w:rsidRPr="00621BD6">
        <w:rPr>
          <w:rFonts w:ascii="Arial" w:hAnsi="Arial" w:cs="Arial"/>
          <w:sz w:val="24"/>
          <w:szCs w:val="24"/>
        </w:rPr>
        <w:t>del Registro de</w:t>
      </w:r>
      <w:r w:rsidR="00894392">
        <w:rPr>
          <w:rFonts w:ascii="Arial" w:hAnsi="Arial" w:cs="Arial"/>
          <w:sz w:val="24"/>
          <w:szCs w:val="24"/>
        </w:rPr>
        <w:t xml:space="preserve"> </w:t>
      </w:r>
      <w:r w:rsidRPr="00621BD6">
        <w:rPr>
          <w:rFonts w:ascii="Arial" w:hAnsi="Arial" w:cs="Arial"/>
          <w:sz w:val="24"/>
          <w:szCs w:val="24"/>
        </w:rPr>
        <w:t xml:space="preserve">Predios de Lima (partida matriz) obra inscrito el inmueble denominado Programa de Vivienda </w:t>
      </w:r>
      <w:r w:rsidR="00894392">
        <w:rPr>
          <w:rFonts w:ascii="Arial" w:hAnsi="Arial" w:cs="Arial"/>
          <w:sz w:val="24"/>
          <w:szCs w:val="24"/>
        </w:rPr>
        <w:t>"</w:t>
      </w:r>
      <w:r w:rsidRPr="00621BD6">
        <w:rPr>
          <w:rFonts w:ascii="Arial" w:hAnsi="Arial" w:cs="Arial"/>
          <w:sz w:val="24"/>
          <w:szCs w:val="24"/>
        </w:rPr>
        <w:t>Los Ángeles de Pachacamac 2da Etapa</w:t>
      </w:r>
      <w:r w:rsidR="00894392">
        <w:rPr>
          <w:rFonts w:ascii="Arial" w:hAnsi="Arial" w:cs="Arial"/>
          <w:sz w:val="24"/>
          <w:szCs w:val="24"/>
        </w:rPr>
        <w:t>"</w:t>
      </w:r>
      <w:r w:rsidRPr="00621BD6">
        <w:rPr>
          <w:rFonts w:ascii="Arial" w:hAnsi="Arial" w:cs="Arial"/>
          <w:sz w:val="24"/>
          <w:szCs w:val="24"/>
        </w:rPr>
        <w:t xml:space="preserve"> del distrito de Pachacamac, provincia y departamento de Lima. En el asiento</w:t>
      </w:r>
      <w:r w:rsidR="00894392">
        <w:rPr>
          <w:rFonts w:ascii="Arial" w:hAnsi="Arial" w:cs="Arial"/>
          <w:sz w:val="24"/>
          <w:szCs w:val="24"/>
        </w:rPr>
        <w:t xml:space="preserve"> </w:t>
      </w:r>
      <w:r w:rsidRPr="00621BD6">
        <w:rPr>
          <w:rFonts w:ascii="Arial" w:hAnsi="Arial" w:cs="Arial"/>
          <w:sz w:val="24"/>
          <w:szCs w:val="24"/>
        </w:rPr>
        <w:t>00012 consta, en mérito a la Resolución de Gerencia N.° 298-2012-GDUR/MDP del 05.10.2012 y Resolución de Gerencia N° 136-2014-MDP- GDUR</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22.05.2014,</w:t>
      </w:r>
      <w:r>
        <w:rPr>
          <w:rFonts w:ascii="Arial" w:hAnsi="Arial" w:cs="Arial"/>
          <w:sz w:val="24"/>
          <w:szCs w:val="24"/>
        </w:rPr>
        <w:t xml:space="preserve"> </w:t>
      </w:r>
      <w:r w:rsidRPr="00621BD6">
        <w:rPr>
          <w:rFonts w:ascii="Arial" w:hAnsi="Arial" w:cs="Arial"/>
          <w:sz w:val="24"/>
          <w:szCs w:val="24"/>
        </w:rPr>
        <w:t>expedidas</w:t>
      </w:r>
      <w:r>
        <w:rPr>
          <w:rFonts w:ascii="Arial" w:hAnsi="Arial" w:cs="Arial"/>
          <w:sz w:val="24"/>
          <w:szCs w:val="24"/>
        </w:rPr>
        <w:t xml:space="preserve"> </w:t>
      </w:r>
      <w:r w:rsidRPr="00621BD6">
        <w:rPr>
          <w:rFonts w:ascii="Arial" w:hAnsi="Arial" w:cs="Arial"/>
          <w:sz w:val="24"/>
          <w:szCs w:val="24"/>
        </w:rPr>
        <w:t>por</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Municipalidad</w:t>
      </w:r>
      <w:r>
        <w:rPr>
          <w:rFonts w:ascii="Arial" w:hAnsi="Arial" w:cs="Arial"/>
          <w:sz w:val="24"/>
          <w:szCs w:val="24"/>
        </w:rPr>
        <w:t xml:space="preserve"> </w:t>
      </w:r>
      <w:r w:rsidRPr="00621BD6">
        <w:rPr>
          <w:rFonts w:ascii="Arial" w:hAnsi="Arial" w:cs="Arial"/>
          <w:sz w:val="24"/>
          <w:szCs w:val="24"/>
        </w:rPr>
        <w:t>Distrital</w:t>
      </w:r>
      <w:r>
        <w:rPr>
          <w:rFonts w:ascii="Arial" w:hAnsi="Arial" w:cs="Arial"/>
          <w:sz w:val="24"/>
          <w:szCs w:val="24"/>
        </w:rPr>
        <w:t xml:space="preserve"> </w:t>
      </w:r>
      <w:r w:rsidRPr="00621BD6">
        <w:rPr>
          <w:rFonts w:ascii="Arial" w:hAnsi="Arial" w:cs="Arial"/>
          <w:sz w:val="24"/>
          <w:szCs w:val="24"/>
        </w:rPr>
        <w:t>de</w:t>
      </w:r>
      <w:r w:rsidR="00894392">
        <w:rPr>
          <w:rFonts w:ascii="Arial" w:hAnsi="Arial" w:cs="Arial"/>
          <w:sz w:val="24"/>
          <w:szCs w:val="24"/>
        </w:rPr>
        <w:t xml:space="preserve"> </w:t>
      </w:r>
      <w:r w:rsidRPr="00621BD6">
        <w:rPr>
          <w:rFonts w:ascii="Arial" w:hAnsi="Arial" w:cs="Arial"/>
          <w:sz w:val="24"/>
          <w:szCs w:val="24"/>
        </w:rPr>
        <w:t>Pachacamac, la anotación preventiva del Proyecto de Habilitación Urbana</w:t>
      </w:r>
      <w:r w:rsidR="00894392">
        <w:rPr>
          <w:rFonts w:ascii="Arial" w:hAnsi="Arial" w:cs="Arial"/>
          <w:sz w:val="24"/>
          <w:szCs w:val="24"/>
        </w:rPr>
        <w:t xml:space="preserve"> </w:t>
      </w:r>
      <w:r w:rsidRPr="00621BD6">
        <w:rPr>
          <w:rFonts w:ascii="Arial" w:hAnsi="Arial" w:cs="Arial"/>
          <w:sz w:val="24"/>
          <w:szCs w:val="24"/>
        </w:rPr>
        <w:t>para</w:t>
      </w:r>
      <w:r>
        <w:rPr>
          <w:rFonts w:ascii="Arial" w:hAnsi="Arial" w:cs="Arial"/>
          <w:sz w:val="24"/>
          <w:szCs w:val="24"/>
        </w:rPr>
        <w:t xml:space="preserve"> </w:t>
      </w:r>
      <w:r w:rsidRPr="00621BD6">
        <w:rPr>
          <w:rFonts w:ascii="Arial" w:hAnsi="Arial" w:cs="Arial"/>
          <w:sz w:val="24"/>
          <w:szCs w:val="24"/>
        </w:rPr>
        <w:t>fines</w:t>
      </w:r>
      <w:r>
        <w:rPr>
          <w:rFonts w:ascii="Arial" w:hAnsi="Arial" w:cs="Arial"/>
          <w:sz w:val="24"/>
          <w:szCs w:val="24"/>
        </w:rPr>
        <w:t xml:space="preserve"> </w:t>
      </w:r>
      <w:r w:rsidRPr="00621BD6">
        <w:rPr>
          <w:rFonts w:ascii="Arial" w:hAnsi="Arial" w:cs="Arial"/>
          <w:sz w:val="24"/>
          <w:szCs w:val="24"/>
        </w:rPr>
        <w:t>residenciales,</w:t>
      </w:r>
      <w:r>
        <w:rPr>
          <w:rFonts w:ascii="Arial" w:hAnsi="Arial" w:cs="Arial"/>
          <w:sz w:val="24"/>
          <w:szCs w:val="24"/>
        </w:rPr>
        <w:t xml:space="preserve"> </w:t>
      </w:r>
      <w:r w:rsidRPr="00621BD6">
        <w:rPr>
          <w:rFonts w:ascii="Arial" w:hAnsi="Arial" w:cs="Arial"/>
          <w:sz w:val="24"/>
          <w:szCs w:val="24"/>
        </w:rPr>
        <w:t>autorizándose</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Compañía</w:t>
      </w:r>
      <w:r>
        <w:rPr>
          <w:rFonts w:ascii="Arial" w:hAnsi="Arial" w:cs="Arial"/>
          <w:sz w:val="24"/>
          <w:szCs w:val="24"/>
        </w:rPr>
        <w:t xml:space="preserve"> </w:t>
      </w:r>
      <w:r w:rsidRPr="00621BD6">
        <w:rPr>
          <w:rFonts w:ascii="Arial" w:hAnsi="Arial" w:cs="Arial"/>
          <w:sz w:val="24"/>
          <w:szCs w:val="24"/>
        </w:rPr>
        <w:t>Inmobiliaria</w:t>
      </w:r>
      <w:r w:rsidR="00894392">
        <w:rPr>
          <w:rFonts w:ascii="Arial" w:hAnsi="Arial" w:cs="Arial"/>
          <w:sz w:val="24"/>
          <w:szCs w:val="24"/>
        </w:rPr>
        <w:t xml:space="preserve"> </w:t>
      </w:r>
      <w:r w:rsidRPr="00621BD6">
        <w:rPr>
          <w:rFonts w:ascii="Arial" w:hAnsi="Arial" w:cs="Arial"/>
          <w:sz w:val="24"/>
          <w:szCs w:val="24"/>
        </w:rPr>
        <w:t xml:space="preserve">Constructora y de Transportes Estrella Andina S.A. </w:t>
      </w:r>
      <w:r>
        <w:rPr>
          <w:rFonts w:ascii="Arial" w:hAnsi="Arial" w:cs="Arial"/>
          <w:sz w:val="24"/>
          <w:szCs w:val="24"/>
        </w:rPr>
        <w:t>-</w:t>
      </w:r>
      <w:r w:rsidRPr="00621BD6">
        <w:rPr>
          <w:rFonts w:ascii="Arial" w:hAnsi="Arial" w:cs="Arial"/>
          <w:sz w:val="24"/>
          <w:szCs w:val="24"/>
        </w:rPr>
        <w:t xml:space="preserve"> </w:t>
      </w:r>
      <w:r w:rsidR="00894392" w:rsidRPr="00621BD6">
        <w:rPr>
          <w:rFonts w:ascii="Arial" w:hAnsi="Arial" w:cs="Arial"/>
          <w:sz w:val="24"/>
          <w:szCs w:val="24"/>
        </w:rPr>
        <w:t>Cicontesa</w:t>
      </w:r>
      <w:r w:rsidRPr="00621BD6">
        <w:rPr>
          <w:rFonts w:ascii="Arial" w:hAnsi="Arial" w:cs="Arial"/>
          <w:sz w:val="24"/>
          <w:szCs w:val="24"/>
        </w:rPr>
        <w:t>, a celebrar</w:t>
      </w:r>
      <w:r>
        <w:rPr>
          <w:rFonts w:ascii="Arial" w:hAnsi="Arial" w:cs="Arial"/>
          <w:sz w:val="24"/>
          <w:szCs w:val="24"/>
        </w:rPr>
        <w:t xml:space="preserve"> </w:t>
      </w:r>
      <w:r w:rsidRPr="00621BD6">
        <w:rPr>
          <w:rFonts w:ascii="Arial" w:hAnsi="Arial" w:cs="Arial"/>
          <w:sz w:val="24"/>
          <w:szCs w:val="24"/>
        </w:rPr>
        <w:t>contratos</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venta</w:t>
      </w:r>
      <w:r>
        <w:rPr>
          <w:rFonts w:ascii="Arial" w:hAnsi="Arial" w:cs="Arial"/>
          <w:sz w:val="24"/>
          <w:szCs w:val="24"/>
        </w:rPr>
        <w:t xml:space="preserve"> </w:t>
      </w:r>
      <w:r w:rsidRPr="00621BD6">
        <w:rPr>
          <w:rFonts w:ascii="Arial" w:hAnsi="Arial" w:cs="Arial"/>
          <w:sz w:val="24"/>
          <w:szCs w:val="24"/>
        </w:rPr>
        <w:t>garantizada,</w:t>
      </w:r>
      <w:r>
        <w:rPr>
          <w:rFonts w:ascii="Arial" w:hAnsi="Arial" w:cs="Arial"/>
          <w:sz w:val="24"/>
          <w:szCs w:val="24"/>
        </w:rPr>
        <w:t xml:space="preserve"> </w:t>
      </w:r>
      <w:r w:rsidRPr="00621BD6">
        <w:rPr>
          <w:rFonts w:ascii="Arial" w:hAnsi="Arial" w:cs="Arial"/>
          <w:sz w:val="24"/>
          <w:szCs w:val="24"/>
        </w:rPr>
        <w:t>respecto</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los</w:t>
      </w:r>
      <w:r>
        <w:rPr>
          <w:rFonts w:ascii="Arial" w:hAnsi="Arial" w:cs="Arial"/>
          <w:sz w:val="24"/>
          <w:szCs w:val="24"/>
        </w:rPr>
        <w:t xml:space="preserve"> </w:t>
      </w:r>
      <w:r w:rsidRPr="00621BD6">
        <w:rPr>
          <w:rFonts w:ascii="Arial" w:hAnsi="Arial" w:cs="Arial"/>
          <w:sz w:val="24"/>
          <w:szCs w:val="24"/>
        </w:rPr>
        <w:t>lotes</w:t>
      </w:r>
      <w:r>
        <w:rPr>
          <w:rFonts w:ascii="Arial" w:hAnsi="Arial" w:cs="Arial"/>
          <w:sz w:val="24"/>
          <w:szCs w:val="24"/>
        </w:rPr>
        <w:t xml:space="preserve"> </w:t>
      </w:r>
      <w:r w:rsidRPr="00621BD6">
        <w:rPr>
          <w:rFonts w:ascii="Arial" w:hAnsi="Arial" w:cs="Arial"/>
          <w:sz w:val="24"/>
          <w:szCs w:val="24"/>
        </w:rPr>
        <w:t>que constituyen</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área</w:t>
      </w:r>
      <w:r>
        <w:rPr>
          <w:rFonts w:ascii="Arial" w:hAnsi="Arial" w:cs="Arial"/>
          <w:sz w:val="24"/>
          <w:szCs w:val="24"/>
        </w:rPr>
        <w:t xml:space="preserve"> </w:t>
      </w:r>
      <w:r w:rsidRPr="00621BD6">
        <w:rPr>
          <w:rFonts w:ascii="Arial" w:hAnsi="Arial" w:cs="Arial"/>
          <w:sz w:val="24"/>
          <w:szCs w:val="24"/>
        </w:rPr>
        <w:t>útil</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habilitación</w:t>
      </w:r>
      <w:r>
        <w:rPr>
          <w:rFonts w:ascii="Arial" w:hAnsi="Arial" w:cs="Arial"/>
          <w:sz w:val="24"/>
          <w:szCs w:val="24"/>
        </w:rPr>
        <w:t xml:space="preserve"> </w:t>
      </w:r>
      <w:r w:rsidRPr="00621BD6">
        <w:rPr>
          <w:rFonts w:ascii="Arial" w:hAnsi="Arial" w:cs="Arial"/>
          <w:sz w:val="24"/>
          <w:szCs w:val="24"/>
        </w:rPr>
        <w:t>urbana,</w:t>
      </w:r>
      <w:r>
        <w:rPr>
          <w:rFonts w:ascii="Arial" w:hAnsi="Arial" w:cs="Arial"/>
          <w:sz w:val="24"/>
          <w:szCs w:val="24"/>
        </w:rPr>
        <w:t xml:space="preserve"> </w:t>
      </w:r>
      <w:r w:rsidRPr="00621BD6">
        <w:rPr>
          <w:rFonts w:ascii="Arial" w:hAnsi="Arial" w:cs="Arial"/>
          <w:sz w:val="24"/>
          <w:szCs w:val="24"/>
        </w:rPr>
        <w:t>procediendo</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 preindependización de los mismos. Asimismo, se deja constancia que la presente anotación preventiva caducará de pleno derecho el 12.03.2015, conforme lo dispone el artículo 11 de la Ley N</w:t>
      </w:r>
      <w:r w:rsidR="00894392">
        <w:rPr>
          <w:rFonts w:ascii="Arial" w:hAnsi="Arial" w:cs="Arial"/>
          <w:sz w:val="24"/>
          <w:szCs w:val="24"/>
        </w:rPr>
        <w:t>.</w:t>
      </w:r>
      <w:r w:rsidRPr="00621BD6">
        <w:rPr>
          <w:rFonts w:ascii="Arial" w:hAnsi="Arial" w:cs="Arial"/>
          <w:sz w:val="24"/>
          <w:szCs w:val="24"/>
        </w:rPr>
        <w:t>° 29090. Así consta en el título archivado 559123 del 03.06.2014.</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3.</w:t>
      </w:r>
      <w:r>
        <w:rPr>
          <w:rFonts w:ascii="Arial" w:hAnsi="Arial" w:cs="Arial"/>
          <w:b/>
          <w:bCs/>
          <w:sz w:val="24"/>
          <w:szCs w:val="24"/>
        </w:rPr>
        <w:t xml:space="preserve"> </w:t>
      </w:r>
      <w:r w:rsidRPr="00621BD6">
        <w:rPr>
          <w:rFonts w:ascii="Arial" w:hAnsi="Arial" w:cs="Arial"/>
          <w:sz w:val="24"/>
          <w:szCs w:val="24"/>
        </w:rPr>
        <w:t>Ahora</w:t>
      </w:r>
      <w:r>
        <w:rPr>
          <w:rFonts w:ascii="Arial" w:hAnsi="Arial" w:cs="Arial"/>
          <w:sz w:val="24"/>
          <w:szCs w:val="24"/>
        </w:rPr>
        <w:t xml:space="preserve"> </w:t>
      </w:r>
      <w:r w:rsidRPr="00621BD6">
        <w:rPr>
          <w:rFonts w:ascii="Arial" w:hAnsi="Arial" w:cs="Arial"/>
          <w:sz w:val="24"/>
          <w:szCs w:val="24"/>
        </w:rPr>
        <w:t>bien,</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Reglamento</w:t>
      </w:r>
      <w:r>
        <w:rPr>
          <w:rFonts w:ascii="Arial" w:hAnsi="Arial" w:cs="Arial"/>
          <w:sz w:val="24"/>
          <w:szCs w:val="24"/>
        </w:rPr>
        <w:t xml:space="preserve"> </w:t>
      </w:r>
      <w:r w:rsidRPr="00621BD6">
        <w:rPr>
          <w:rFonts w:ascii="Arial" w:hAnsi="Arial" w:cs="Arial"/>
          <w:sz w:val="24"/>
          <w:szCs w:val="24"/>
        </w:rPr>
        <w:t>Nacional</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Edificaciones</w:t>
      </w:r>
      <w:r w:rsidRPr="00894392">
        <w:rPr>
          <w:rFonts w:ascii="Arial" w:hAnsi="Arial" w:cs="Arial"/>
          <w:sz w:val="24"/>
          <w:szCs w:val="16"/>
          <w:vertAlign w:val="superscript"/>
        </w:rPr>
        <w:t>1</w:t>
      </w:r>
      <w:r>
        <w:rPr>
          <w:rFonts w:ascii="Arial" w:hAnsi="Arial" w:cs="Arial"/>
          <w:sz w:val="24"/>
          <w:szCs w:val="16"/>
        </w:rPr>
        <w:t xml:space="preserve"> </w:t>
      </w:r>
      <w:r w:rsidRPr="00621BD6">
        <w:rPr>
          <w:rFonts w:ascii="Arial" w:hAnsi="Arial" w:cs="Arial"/>
          <w:sz w:val="24"/>
          <w:szCs w:val="24"/>
        </w:rPr>
        <w:t>define</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 habilitación urbana como el proceso de convertir un terreno rústico</w:t>
      </w:r>
      <w:r>
        <w:rPr>
          <w:rFonts w:ascii="Arial" w:hAnsi="Arial" w:cs="Arial"/>
          <w:sz w:val="24"/>
          <w:szCs w:val="24"/>
        </w:rPr>
        <w:t xml:space="preserve"> </w:t>
      </w:r>
      <w:r w:rsidRPr="00621BD6">
        <w:rPr>
          <w:rFonts w:ascii="Arial" w:hAnsi="Arial" w:cs="Arial"/>
          <w:sz w:val="24"/>
          <w:szCs w:val="24"/>
        </w:rPr>
        <w:t>o eriazo en urbano, mediante la ejecución de obras de accesibilidad,</w:t>
      </w:r>
      <w:r>
        <w:rPr>
          <w:rFonts w:ascii="Arial" w:hAnsi="Arial" w:cs="Arial"/>
          <w:sz w:val="24"/>
          <w:szCs w:val="24"/>
        </w:rPr>
        <w:t xml:space="preserve"> </w:t>
      </w:r>
      <w:r w:rsidRPr="00621BD6">
        <w:rPr>
          <w:rFonts w:ascii="Arial" w:hAnsi="Arial" w:cs="Arial"/>
          <w:sz w:val="24"/>
          <w:szCs w:val="24"/>
        </w:rPr>
        <w:t xml:space="preserve">de distribución de agua y recolección de desagüe, de distribución de energía e iluminación pública, pistas </w:t>
      </w:r>
      <w:r w:rsidRPr="00621BD6">
        <w:rPr>
          <w:rFonts w:ascii="Arial" w:hAnsi="Arial" w:cs="Arial"/>
          <w:sz w:val="24"/>
          <w:szCs w:val="24"/>
        </w:rPr>
        <w:lastRenderedPageBreak/>
        <w:t>y veredas. Adicionalmente, el terreno puede contar con redes para la distribución de gas y redes de comunicaciones. Las habilitaciones urbanas pueden ser ejecutadas por etapas en forma parcial, en forma simultánea con las obras de</w:t>
      </w:r>
      <w:r>
        <w:rPr>
          <w:rFonts w:ascii="Arial" w:hAnsi="Arial" w:cs="Arial"/>
          <w:sz w:val="24"/>
          <w:szCs w:val="24"/>
        </w:rPr>
        <w:t xml:space="preserve"> </w:t>
      </w:r>
      <w:r w:rsidRPr="00621BD6">
        <w:rPr>
          <w:rFonts w:ascii="Arial" w:hAnsi="Arial" w:cs="Arial"/>
          <w:sz w:val="24"/>
          <w:szCs w:val="24"/>
        </w:rPr>
        <w:t>edificación y de forma progresiva con la ejecución de pistas y veredas.</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Conforme al citado reglamento, terreno urbano es la unidad inmobiliaria constituida por una superficie de terreno habilitado para uso urbano y que cuenta con accesibilidad, sistema de abastecimiento de agua, sistema de desagüe, abastecimiento de energía</w:t>
      </w:r>
      <w:r>
        <w:rPr>
          <w:rFonts w:ascii="Arial" w:hAnsi="Arial" w:cs="Arial"/>
          <w:sz w:val="24"/>
          <w:szCs w:val="24"/>
        </w:rPr>
        <w:t xml:space="preserve"> </w:t>
      </w:r>
      <w:r w:rsidRPr="00621BD6">
        <w:rPr>
          <w:rFonts w:ascii="Arial" w:hAnsi="Arial" w:cs="Arial"/>
          <w:sz w:val="24"/>
          <w:szCs w:val="24"/>
        </w:rPr>
        <w:t>eléctrica y redes de iluminación pública y que ha sido sometida a un proceso administrativo para adquirir esta condición. Puede o no contar con pistas y veredas.</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4.</w:t>
      </w:r>
      <w:r>
        <w:rPr>
          <w:rFonts w:ascii="Arial" w:hAnsi="Arial" w:cs="Arial"/>
          <w:b/>
          <w:bCs/>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trámite</w:t>
      </w:r>
      <w:r>
        <w:rPr>
          <w:rFonts w:ascii="Arial" w:hAnsi="Arial" w:cs="Arial"/>
          <w:sz w:val="24"/>
          <w:szCs w:val="24"/>
        </w:rPr>
        <w:t xml:space="preserve"> </w:t>
      </w:r>
      <w:r w:rsidRPr="00621BD6">
        <w:rPr>
          <w:rFonts w:ascii="Arial" w:hAnsi="Arial" w:cs="Arial"/>
          <w:sz w:val="24"/>
          <w:szCs w:val="24"/>
        </w:rPr>
        <w:t>administrativo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habilitaciones</w:t>
      </w:r>
      <w:r>
        <w:rPr>
          <w:rFonts w:ascii="Arial" w:hAnsi="Arial" w:cs="Arial"/>
          <w:sz w:val="24"/>
          <w:szCs w:val="24"/>
        </w:rPr>
        <w:t xml:space="preserve"> </w:t>
      </w:r>
      <w:r w:rsidRPr="00621BD6">
        <w:rPr>
          <w:rFonts w:ascii="Arial" w:hAnsi="Arial" w:cs="Arial"/>
          <w:sz w:val="24"/>
          <w:szCs w:val="24"/>
        </w:rPr>
        <w:t>urbanas</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encuentra actualmente regulado en el Texto Único Ordenado de la Ley N</w:t>
      </w:r>
      <w:r w:rsidR="005457FB">
        <w:rPr>
          <w:rFonts w:ascii="Arial" w:hAnsi="Arial" w:cs="Arial"/>
          <w:sz w:val="24"/>
          <w:szCs w:val="24"/>
        </w:rPr>
        <w:t>.</w:t>
      </w:r>
      <w:r w:rsidRPr="00621BD6">
        <w:rPr>
          <w:rFonts w:ascii="Arial" w:hAnsi="Arial" w:cs="Arial"/>
          <w:sz w:val="24"/>
          <w:szCs w:val="24"/>
        </w:rPr>
        <w:t>° 29090</w:t>
      </w:r>
      <w:r w:rsidRPr="005457FB">
        <w:rPr>
          <w:rFonts w:ascii="Arial" w:hAnsi="Arial" w:cs="Arial"/>
          <w:sz w:val="24"/>
          <w:szCs w:val="16"/>
          <w:vertAlign w:val="superscript"/>
        </w:rPr>
        <w:t>2</w:t>
      </w:r>
      <w:r w:rsidRPr="00621BD6">
        <w:rPr>
          <w:rFonts w:ascii="Arial" w:hAnsi="Arial" w:cs="Arial"/>
          <w:sz w:val="24"/>
          <w:szCs w:val="24"/>
        </w:rPr>
        <w:t xml:space="preserve">, </w:t>
      </w:r>
      <w:r w:rsidR="005457FB">
        <w:rPr>
          <w:rFonts w:ascii="Arial" w:hAnsi="Arial" w:cs="Arial"/>
          <w:sz w:val="24"/>
          <w:szCs w:val="24"/>
        </w:rPr>
        <w:t>"</w:t>
      </w:r>
      <w:r w:rsidRPr="00621BD6">
        <w:rPr>
          <w:rFonts w:ascii="Arial" w:hAnsi="Arial" w:cs="Arial"/>
          <w:sz w:val="24"/>
          <w:szCs w:val="24"/>
        </w:rPr>
        <w:t>Ley de Regulación de Habilitaciones Urbanas y de Edificaciones</w:t>
      </w:r>
      <w:r w:rsidR="005457FB">
        <w:rPr>
          <w:rFonts w:ascii="Arial" w:hAnsi="Arial" w:cs="Arial"/>
          <w:sz w:val="24"/>
          <w:szCs w:val="24"/>
        </w:rPr>
        <w:t>"</w:t>
      </w:r>
      <w:r w:rsidRPr="00621BD6">
        <w:rPr>
          <w:rFonts w:ascii="Arial" w:hAnsi="Arial" w:cs="Arial"/>
          <w:sz w:val="24"/>
          <w:szCs w:val="24"/>
        </w:rPr>
        <w:t>, la cual define en su artículo 3.1 a la habilitación urbana</w:t>
      </w:r>
      <w:r>
        <w:rPr>
          <w:rFonts w:ascii="Arial" w:hAnsi="Arial" w:cs="Arial"/>
          <w:sz w:val="24"/>
          <w:szCs w:val="24"/>
        </w:rPr>
        <w:t xml:space="preserve"> </w:t>
      </w:r>
      <w:r w:rsidRPr="00621BD6">
        <w:rPr>
          <w:rFonts w:ascii="Arial" w:hAnsi="Arial" w:cs="Arial"/>
          <w:sz w:val="24"/>
          <w:szCs w:val="24"/>
        </w:rPr>
        <w:t>como el proceso de convertir un terreno rústico o eriazo en urbano, mediante la ejecución de obras de accesibilidad, de distribución de agua y recolección de desagüe, de</w:t>
      </w:r>
      <w:r>
        <w:rPr>
          <w:rFonts w:ascii="Arial" w:hAnsi="Arial" w:cs="Arial"/>
          <w:sz w:val="24"/>
          <w:szCs w:val="24"/>
        </w:rPr>
        <w:t xml:space="preserve"> </w:t>
      </w:r>
      <w:r w:rsidRPr="00621BD6">
        <w:rPr>
          <w:rFonts w:ascii="Arial" w:hAnsi="Arial" w:cs="Arial"/>
          <w:sz w:val="24"/>
          <w:szCs w:val="24"/>
        </w:rPr>
        <w:t>distribución</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energía</w:t>
      </w:r>
      <w:r>
        <w:rPr>
          <w:rFonts w:ascii="Arial" w:hAnsi="Arial" w:cs="Arial"/>
          <w:sz w:val="24"/>
          <w:szCs w:val="24"/>
        </w:rPr>
        <w:t xml:space="preserve"> </w:t>
      </w:r>
      <w:r w:rsidRPr="00621BD6">
        <w:rPr>
          <w:rFonts w:ascii="Arial" w:hAnsi="Arial" w:cs="Arial"/>
          <w:sz w:val="24"/>
          <w:szCs w:val="24"/>
        </w:rPr>
        <w:t>e</w:t>
      </w:r>
      <w:r>
        <w:rPr>
          <w:rFonts w:ascii="Arial" w:hAnsi="Arial" w:cs="Arial"/>
          <w:sz w:val="24"/>
          <w:szCs w:val="24"/>
        </w:rPr>
        <w:t xml:space="preserve"> </w:t>
      </w:r>
      <w:r w:rsidRPr="00621BD6">
        <w:rPr>
          <w:rFonts w:ascii="Arial" w:hAnsi="Arial" w:cs="Arial"/>
          <w:sz w:val="24"/>
          <w:szCs w:val="24"/>
        </w:rPr>
        <w:t>iluminación</w:t>
      </w:r>
      <w:r>
        <w:rPr>
          <w:rFonts w:ascii="Arial" w:hAnsi="Arial" w:cs="Arial"/>
          <w:sz w:val="24"/>
          <w:szCs w:val="24"/>
        </w:rPr>
        <w:t xml:space="preserve"> </w:t>
      </w:r>
      <w:r w:rsidRPr="00621BD6">
        <w:rPr>
          <w:rFonts w:ascii="Arial" w:hAnsi="Arial" w:cs="Arial"/>
          <w:sz w:val="24"/>
          <w:szCs w:val="24"/>
        </w:rPr>
        <w:t>pública.</w:t>
      </w:r>
      <w:r>
        <w:rPr>
          <w:rFonts w:ascii="Arial" w:hAnsi="Arial" w:cs="Arial"/>
          <w:sz w:val="24"/>
          <w:szCs w:val="24"/>
        </w:rPr>
        <w:t xml:space="preserve"> </w:t>
      </w:r>
      <w:r w:rsidRPr="00621BD6">
        <w:rPr>
          <w:rFonts w:ascii="Arial" w:hAnsi="Arial" w:cs="Arial"/>
          <w:sz w:val="24"/>
          <w:szCs w:val="24"/>
        </w:rPr>
        <w:t>Adicionalmente,</w:t>
      </w:r>
      <w:r>
        <w:rPr>
          <w:rFonts w:ascii="Arial" w:hAnsi="Arial" w:cs="Arial"/>
          <w:sz w:val="24"/>
          <w:szCs w:val="24"/>
        </w:rPr>
        <w:t xml:space="preserve"> </w:t>
      </w:r>
      <w:r w:rsidRPr="00621BD6">
        <w:rPr>
          <w:rFonts w:ascii="Arial" w:hAnsi="Arial" w:cs="Arial"/>
          <w:sz w:val="24"/>
          <w:szCs w:val="24"/>
        </w:rPr>
        <w:t>el</w:t>
      </w:r>
      <w:r w:rsidR="005457FB">
        <w:rPr>
          <w:rFonts w:ascii="Arial" w:hAnsi="Arial" w:cs="Arial"/>
          <w:sz w:val="24"/>
          <w:szCs w:val="24"/>
        </w:rPr>
        <w:t xml:space="preserve"> </w:t>
      </w:r>
      <w:r w:rsidRPr="00621BD6">
        <w:rPr>
          <w:rFonts w:ascii="Arial" w:hAnsi="Arial" w:cs="Arial"/>
          <w:sz w:val="24"/>
          <w:szCs w:val="24"/>
        </w:rPr>
        <w:t>terreno puede contar con redes para la distribución de gas y redes de</w:t>
      </w:r>
      <w:r w:rsidR="005457FB">
        <w:rPr>
          <w:rFonts w:ascii="Arial" w:hAnsi="Arial" w:cs="Arial"/>
          <w:sz w:val="24"/>
          <w:szCs w:val="24"/>
        </w:rPr>
        <w:t xml:space="preserve"> </w:t>
      </w:r>
      <w:r w:rsidRPr="00621BD6">
        <w:rPr>
          <w:rFonts w:ascii="Arial" w:hAnsi="Arial" w:cs="Arial"/>
          <w:sz w:val="24"/>
          <w:szCs w:val="24"/>
        </w:rPr>
        <w:t>comunicaciones. Este proceso requiere de aportes gratuitos y obligatorios</w:t>
      </w:r>
      <w:r w:rsidR="005457FB">
        <w:rPr>
          <w:rFonts w:ascii="Arial" w:hAnsi="Arial" w:cs="Arial"/>
          <w:sz w:val="24"/>
          <w:szCs w:val="24"/>
        </w:rPr>
        <w:t xml:space="preserve"> </w:t>
      </w:r>
      <w:r w:rsidRPr="00621BD6">
        <w:rPr>
          <w:rFonts w:ascii="Arial" w:hAnsi="Arial" w:cs="Arial"/>
          <w:sz w:val="24"/>
          <w:szCs w:val="24"/>
        </w:rPr>
        <w:t>para fines de recreación pública, que son áreas de uso público irrestricto; así como para servicios públicos complementarios, para educación, salud y</w:t>
      </w:r>
      <w:r>
        <w:rPr>
          <w:rFonts w:ascii="Arial" w:hAnsi="Arial" w:cs="Arial"/>
          <w:sz w:val="24"/>
          <w:szCs w:val="24"/>
        </w:rPr>
        <w:t xml:space="preserve"> </w:t>
      </w:r>
      <w:r w:rsidRPr="00621BD6">
        <w:rPr>
          <w:rFonts w:ascii="Arial" w:hAnsi="Arial" w:cs="Arial"/>
          <w:sz w:val="24"/>
          <w:szCs w:val="24"/>
        </w:rPr>
        <w:t>otros fines, en lotes regulares edificables que constituyen bienes de dominio público del Estado, susceptibles de inscripción en el Registro de Predios de la Sunarp.</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De acuerdo a la acotada ley, el proceso de habilitación urbana pasa por obtener una licencia de habilitación urbana, y una vez concluidas las obras se solicita la recepción de las mismas. El formulario único con la recepción de obras de habilitación urbana, el</w:t>
      </w:r>
      <w:r>
        <w:rPr>
          <w:rFonts w:ascii="Arial" w:hAnsi="Arial" w:cs="Arial"/>
          <w:sz w:val="24"/>
          <w:szCs w:val="24"/>
        </w:rPr>
        <w:t xml:space="preserve"> </w:t>
      </w:r>
      <w:r w:rsidRPr="00621BD6">
        <w:rPr>
          <w:rFonts w:ascii="Arial" w:hAnsi="Arial" w:cs="Arial"/>
          <w:sz w:val="24"/>
          <w:szCs w:val="24"/>
        </w:rPr>
        <w:t>plano de replanteo de trazado y lotización, la memoria descriptiva y la resolución de recepción de obras, debidamente sellados por la municipalidad, son los documentos que, en conjunto, dan mérito a la inscripción registral de la habilitación urbana y a la inscripción individualizada de los predios urbanos generados durante este proceso, ello conforme se encuentra previsto en su artículo 20.</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5.</w:t>
      </w:r>
      <w:r>
        <w:rPr>
          <w:rFonts w:ascii="Arial" w:hAnsi="Arial" w:cs="Arial"/>
          <w:b/>
          <w:bCs/>
          <w:sz w:val="24"/>
          <w:szCs w:val="24"/>
        </w:rPr>
        <w:t xml:space="preserve"> </w:t>
      </w:r>
      <w:r w:rsidRPr="00621BD6">
        <w:rPr>
          <w:rFonts w:ascii="Arial" w:hAnsi="Arial" w:cs="Arial"/>
          <w:sz w:val="24"/>
          <w:szCs w:val="24"/>
        </w:rPr>
        <w:t>Los requisitos se encontraban previstos en la referida ley y el Reglamento de Licencias de Habilitación Urbana y Licencias de Edificación aprobado por Decreto Supremo N.° 024-2008-</w:t>
      </w:r>
      <w:r w:rsidR="005457FB" w:rsidRPr="00621BD6">
        <w:rPr>
          <w:rFonts w:ascii="Arial" w:hAnsi="Arial" w:cs="Arial"/>
          <w:sz w:val="24"/>
          <w:szCs w:val="24"/>
        </w:rPr>
        <w:t>Vivienda</w:t>
      </w:r>
      <w:r w:rsidR="005457FB" w:rsidRPr="005457FB">
        <w:rPr>
          <w:rFonts w:ascii="Arial" w:hAnsi="Arial" w:cs="Arial"/>
          <w:sz w:val="24"/>
          <w:szCs w:val="16"/>
          <w:vertAlign w:val="superscript"/>
        </w:rPr>
        <w:t>3</w:t>
      </w:r>
      <w:r w:rsidRPr="00621BD6">
        <w:rPr>
          <w:rFonts w:ascii="Arial" w:hAnsi="Arial" w:cs="Arial"/>
          <w:sz w:val="24"/>
          <w:szCs w:val="24"/>
        </w:rPr>
        <w:t xml:space="preserve">, vigente a la fecha en que se solicitó la habilitación urbana </w:t>
      </w:r>
      <w:r w:rsidRPr="00621BD6">
        <w:rPr>
          <w:rFonts w:ascii="Arial" w:hAnsi="Arial" w:cs="Arial"/>
          <w:i/>
          <w:iCs/>
          <w:sz w:val="24"/>
          <w:szCs w:val="24"/>
        </w:rPr>
        <w:t>submateria</w:t>
      </w:r>
      <w:r w:rsidRPr="005457FB">
        <w:rPr>
          <w:rFonts w:ascii="Arial" w:hAnsi="Arial" w:cs="Arial"/>
          <w:sz w:val="24"/>
          <w:szCs w:val="16"/>
          <w:vertAlign w:val="superscript"/>
        </w:rPr>
        <w:t>4</w:t>
      </w:r>
      <w:r w:rsidRPr="00621BD6">
        <w:rPr>
          <w:rFonts w:ascii="Arial" w:hAnsi="Arial" w:cs="Arial"/>
          <w:sz w:val="24"/>
          <w:szCs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Actualmente, se encuentra en vigor el Texto Único Ordenado de la Ley N</w:t>
      </w:r>
      <w:r w:rsidR="005457FB">
        <w:rPr>
          <w:rFonts w:ascii="Arial" w:hAnsi="Arial" w:cs="Arial"/>
          <w:sz w:val="24"/>
          <w:szCs w:val="24"/>
        </w:rPr>
        <w:t>.</w:t>
      </w:r>
      <w:r w:rsidRPr="00621BD6">
        <w:rPr>
          <w:rFonts w:ascii="Arial" w:hAnsi="Arial" w:cs="Arial"/>
          <w:sz w:val="24"/>
          <w:szCs w:val="24"/>
        </w:rPr>
        <w:t>° 29090,</w:t>
      </w:r>
      <w:r>
        <w:rPr>
          <w:rFonts w:ascii="Arial" w:hAnsi="Arial" w:cs="Arial"/>
          <w:sz w:val="24"/>
          <w:szCs w:val="24"/>
        </w:rPr>
        <w:t xml:space="preserve"> </w:t>
      </w:r>
      <w:r w:rsidRPr="00621BD6">
        <w:rPr>
          <w:rFonts w:ascii="Arial" w:hAnsi="Arial" w:cs="Arial"/>
          <w:sz w:val="24"/>
          <w:szCs w:val="24"/>
        </w:rPr>
        <w:t>Ley</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Regulación</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Habilitaciones</w:t>
      </w:r>
      <w:r>
        <w:rPr>
          <w:rFonts w:ascii="Arial" w:hAnsi="Arial" w:cs="Arial"/>
          <w:sz w:val="24"/>
          <w:szCs w:val="24"/>
        </w:rPr>
        <w:t xml:space="preserve"> </w:t>
      </w:r>
      <w:r w:rsidRPr="00621BD6">
        <w:rPr>
          <w:rFonts w:ascii="Arial" w:hAnsi="Arial" w:cs="Arial"/>
          <w:sz w:val="24"/>
          <w:szCs w:val="24"/>
        </w:rPr>
        <w:t>Urbanas</w:t>
      </w:r>
      <w:r>
        <w:rPr>
          <w:rFonts w:ascii="Arial" w:hAnsi="Arial" w:cs="Arial"/>
          <w:sz w:val="24"/>
          <w:szCs w:val="24"/>
        </w:rPr>
        <w:t xml:space="preserve"> </w:t>
      </w:r>
      <w:r w:rsidRPr="00621BD6">
        <w:rPr>
          <w:rFonts w:ascii="Arial" w:hAnsi="Arial" w:cs="Arial"/>
          <w:sz w:val="24"/>
          <w:szCs w:val="24"/>
        </w:rPr>
        <w:t>y</w:t>
      </w:r>
      <w:r>
        <w:rPr>
          <w:rFonts w:ascii="Arial" w:hAnsi="Arial" w:cs="Arial"/>
          <w:sz w:val="24"/>
          <w:szCs w:val="24"/>
        </w:rPr>
        <w:t xml:space="preserve"> </w:t>
      </w:r>
      <w:r w:rsidRPr="00621BD6">
        <w:rPr>
          <w:rFonts w:ascii="Arial" w:hAnsi="Arial" w:cs="Arial"/>
          <w:sz w:val="24"/>
          <w:szCs w:val="24"/>
        </w:rPr>
        <w:t>de Edificaciones,</w:t>
      </w:r>
      <w:r>
        <w:rPr>
          <w:rFonts w:ascii="Arial" w:hAnsi="Arial" w:cs="Arial"/>
          <w:sz w:val="24"/>
          <w:szCs w:val="24"/>
        </w:rPr>
        <w:t xml:space="preserve"> </w:t>
      </w:r>
      <w:r w:rsidRPr="00621BD6">
        <w:rPr>
          <w:rFonts w:ascii="Arial" w:hAnsi="Arial" w:cs="Arial"/>
          <w:sz w:val="24"/>
          <w:szCs w:val="24"/>
        </w:rPr>
        <w:t>aprobado</w:t>
      </w:r>
      <w:r>
        <w:rPr>
          <w:rFonts w:ascii="Arial" w:hAnsi="Arial" w:cs="Arial"/>
          <w:sz w:val="24"/>
          <w:szCs w:val="24"/>
        </w:rPr>
        <w:t xml:space="preserve"> </w:t>
      </w:r>
      <w:r w:rsidRPr="00621BD6">
        <w:rPr>
          <w:rFonts w:ascii="Arial" w:hAnsi="Arial" w:cs="Arial"/>
          <w:sz w:val="24"/>
          <w:szCs w:val="24"/>
        </w:rPr>
        <w:t>por</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Decreto</w:t>
      </w:r>
      <w:r>
        <w:rPr>
          <w:rFonts w:ascii="Arial" w:hAnsi="Arial" w:cs="Arial"/>
          <w:sz w:val="24"/>
          <w:szCs w:val="24"/>
        </w:rPr>
        <w:t xml:space="preserve"> </w:t>
      </w:r>
      <w:r w:rsidRPr="00621BD6">
        <w:rPr>
          <w:rFonts w:ascii="Arial" w:hAnsi="Arial" w:cs="Arial"/>
          <w:sz w:val="24"/>
          <w:szCs w:val="24"/>
        </w:rPr>
        <w:t>Supremo</w:t>
      </w:r>
      <w:r>
        <w:rPr>
          <w:rFonts w:ascii="Arial" w:hAnsi="Arial" w:cs="Arial"/>
          <w:sz w:val="24"/>
          <w:szCs w:val="24"/>
        </w:rPr>
        <w:t xml:space="preserve"> </w:t>
      </w:r>
      <w:r w:rsidRPr="00621BD6">
        <w:rPr>
          <w:rFonts w:ascii="Arial" w:hAnsi="Arial" w:cs="Arial"/>
          <w:sz w:val="24"/>
          <w:szCs w:val="24"/>
        </w:rPr>
        <w:t>N°</w:t>
      </w:r>
      <w:r>
        <w:rPr>
          <w:rFonts w:ascii="Arial" w:hAnsi="Arial" w:cs="Arial"/>
          <w:sz w:val="24"/>
          <w:szCs w:val="24"/>
        </w:rPr>
        <w:t xml:space="preserve"> </w:t>
      </w:r>
      <w:r w:rsidR="005457FB">
        <w:rPr>
          <w:rFonts w:ascii="Arial" w:hAnsi="Arial" w:cs="Arial"/>
          <w:sz w:val="24"/>
          <w:szCs w:val="24"/>
        </w:rPr>
        <w:t>006-2017-</w:t>
      </w:r>
      <w:r w:rsidR="005457FB" w:rsidRPr="00621BD6">
        <w:rPr>
          <w:rFonts w:ascii="Arial" w:hAnsi="Arial" w:cs="Arial"/>
          <w:sz w:val="24"/>
          <w:szCs w:val="24"/>
        </w:rPr>
        <w:t>Vivienda</w:t>
      </w:r>
      <w:r w:rsidR="005457FB" w:rsidRPr="005457FB">
        <w:rPr>
          <w:rFonts w:ascii="Arial" w:hAnsi="Arial" w:cs="Arial"/>
          <w:sz w:val="24"/>
          <w:szCs w:val="16"/>
          <w:vertAlign w:val="superscript"/>
        </w:rPr>
        <w:t>5</w:t>
      </w:r>
      <w:r w:rsidRPr="00621BD6">
        <w:rPr>
          <w:rFonts w:ascii="Arial" w:hAnsi="Arial" w:cs="Arial"/>
          <w:sz w:val="24"/>
          <w:szCs w:val="24"/>
        </w:rPr>
        <w:t>.</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6.</w:t>
      </w:r>
      <w:r>
        <w:rPr>
          <w:rFonts w:ascii="Arial" w:hAnsi="Arial" w:cs="Arial"/>
          <w:b/>
          <w:bCs/>
          <w:sz w:val="24"/>
          <w:szCs w:val="24"/>
        </w:rPr>
        <w:t xml:space="preserve"> </w:t>
      </w:r>
      <w:r w:rsidRPr="00621BD6">
        <w:rPr>
          <w:rFonts w:ascii="Arial" w:hAnsi="Arial" w:cs="Arial"/>
          <w:sz w:val="24"/>
          <w:szCs w:val="24"/>
        </w:rPr>
        <w:t>Respecto</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modalidades</w:t>
      </w:r>
      <w:r>
        <w:rPr>
          <w:rFonts w:ascii="Arial" w:hAnsi="Arial" w:cs="Arial"/>
          <w:sz w:val="24"/>
          <w:szCs w:val="24"/>
        </w:rPr>
        <w:t xml:space="preserve"> </w:t>
      </w:r>
      <w:r w:rsidRPr="00621BD6">
        <w:rPr>
          <w:rFonts w:ascii="Arial" w:hAnsi="Arial" w:cs="Arial"/>
          <w:sz w:val="24"/>
          <w:szCs w:val="24"/>
        </w:rPr>
        <w:t>para</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obtención</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licencias</w:t>
      </w:r>
      <w:r>
        <w:rPr>
          <w:rFonts w:ascii="Arial" w:hAnsi="Arial" w:cs="Arial"/>
          <w:sz w:val="24"/>
          <w:szCs w:val="24"/>
        </w:rPr>
        <w:t xml:space="preserve"> </w:t>
      </w:r>
      <w:r w:rsidRPr="00621BD6">
        <w:rPr>
          <w:rFonts w:ascii="Arial" w:hAnsi="Arial" w:cs="Arial"/>
          <w:sz w:val="24"/>
          <w:szCs w:val="24"/>
        </w:rPr>
        <w:t xml:space="preserve">de habilitación urbana, el artículo 10 de la Ley N.° 29090 </w:t>
      </w:r>
      <w:r w:rsidR="005457FB" w:rsidRPr="005457FB">
        <w:rPr>
          <w:rFonts w:ascii="Arial" w:hAnsi="Arial" w:cs="Arial"/>
          <w:sz w:val="24"/>
          <w:szCs w:val="24"/>
        </w:rPr>
        <w:t>–</w:t>
      </w:r>
      <w:r w:rsidRPr="00621BD6">
        <w:rPr>
          <w:rFonts w:ascii="Arial" w:hAnsi="Arial" w:cs="Arial"/>
          <w:sz w:val="24"/>
          <w:szCs w:val="24"/>
        </w:rPr>
        <w:t xml:space="preserve">vigente a la fecha de solicitud de la habilitación urbana </w:t>
      </w:r>
      <w:r w:rsidRPr="00621BD6">
        <w:rPr>
          <w:rFonts w:ascii="Arial" w:hAnsi="Arial" w:cs="Arial"/>
          <w:i/>
          <w:iCs/>
          <w:sz w:val="24"/>
          <w:szCs w:val="24"/>
        </w:rPr>
        <w:t>submateria</w:t>
      </w:r>
      <w:r w:rsidR="005457FB" w:rsidRPr="005457FB">
        <w:rPr>
          <w:rFonts w:ascii="Arial" w:hAnsi="Arial" w:cs="Arial"/>
          <w:iCs/>
          <w:sz w:val="24"/>
          <w:szCs w:val="24"/>
        </w:rPr>
        <w:t>–</w:t>
      </w:r>
      <w:r w:rsidRPr="00621BD6">
        <w:rPr>
          <w:rFonts w:ascii="Arial" w:hAnsi="Arial" w:cs="Arial"/>
          <w:sz w:val="24"/>
          <w:szCs w:val="24"/>
        </w:rPr>
        <w:t xml:space="preserve"> estableció la existencia</w:t>
      </w:r>
      <w:r w:rsidR="005457FB">
        <w:rPr>
          <w:rFonts w:ascii="Arial" w:hAnsi="Arial" w:cs="Arial"/>
          <w:sz w:val="24"/>
          <w:szCs w:val="24"/>
        </w:rPr>
        <w:t xml:space="preserve"> </w:t>
      </w:r>
      <w:r w:rsidRPr="00621BD6">
        <w:rPr>
          <w:rFonts w:ascii="Arial" w:hAnsi="Arial" w:cs="Arial"/>
          <w:sz w:val="24"/>
          <w:szCs w:val="24"/>
        </w:rPr>
        <w:t>de 4 modalidades: A, B, C y D, planteando lo siguiente:</w:t>
      </w:r>
    </w:p>
    <w:p w:rsidR="00621BD6" w:rsidRPr="00621BD6" w:rsidRDefault="005457FB"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Pr>
          <w:rFonts w:ascii="Arial" w:hAnsi="Arial" w:cs="Arial"/>
          <w:sz w:val="24"/>
        </w:rPr>
        <w:t>"</w:t>
      </w:r>
      <w:r w:rsidR="00621BD6" w:rsidRPr="00621BD6">
        <w:rPr>
          <w:rFonts w:ascii="Arial" w:hAnsi="Arial" w:cs="Arial"/>
          <w:sz w:val="24"/>
        </w:rPr>
        <w:t>(</w:t>
      </w:r>
      <w:r>
        <w:rPr>
          <w:rFonts w:ascii="Arial" w:hAnsi="Arial" w:cs="Arial"/>
          <w:sz w:val="24"/>
        </w:rPr>
        <w:t>...</w:t>
      </w:r>
      <w:r w:rsidR="00621BD6" w:rsidRPr="00621BD6">
        <w:rPr>
          <w:rFonts w:ascii="Arial" w:hAnsi="Arial" w:cs="Arial"/>
          <w:sz w:val="24"/>
        </w:rPr>
        <w:t>)</w:t>
      </w:r>
      <w:r>
        <w:rPr>
          <w:rFonts w:ascii="Arial" w:hAnsi="Arial" w:cs="Arial"/>
          <w:sz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lastRenderedPageBreak/>
        <w:t>La</w:t>
      </w:r>
      <w:r>
        <w:rPr>
          <w:rFonts w:ascii="Arial" w:hAnsi="Arial" w:cs="Arial"/>
          <w:sz w:val="24"/>
        </w:rPr>
        <w:t xml:space="preserve"> </w:t>
      </w:r>
      <w:r w:rsidRPr="00621BD6">
        <w:rPr>
          <w:rFonts w:ascii="Arial" w:hAnsi="Arial" w:cs="Arial"/>
          <w:sz w:val="24"/>
        </w:rPr>
        <w:t>inscripción</w:t>
      </w:r>
      <w:r>
        <w:rPr>
          <w:rFonts w:ascii="Arial" w:hAnsi="Arial" w:cs="Arial"/>
          <w:sz w:val="24"/>
        </w:rPr>
        <w:t xml:space="preserve"> </w:t>
      </w:r>
      <w:r w:rsidRPr="00621BD6">
        <w:rPr>
          <w:rFonts w:ascii="Arial" w:hAnsi="Arial" w:cs="Arial"/>
          <w:sz w:val="24"/>
        </w:rPr>
        <w:t>en</w:t>
      </w:r>
      <w:r>
        <w:rPr>
          <w:rFonts w:ascii="Arial" w:hAnsi="Arial" w:cs="Arial"/>
          <w:sz w:val="24"/>
        </w:rPr>
        <w:t xml:space="preserve"> </w:t>
      </w:r>
      <w:r w:rsidRPr="00621BD6">
        <w:rPr>
          <w:rFonts w:ascii="Arial" w:hAnsi="Arial" w:cs="Arial"/>
          <w:sz w:val="24"/>
        </w:rPr>
        <w:t>Registros</w:t>
      </w:r>
      <w:r>
        <w:rPr>
          <w:rFonts w:ascii="Arial" w:hAnsi="Arial" w:cs="Arial"/>
          <w:sz w:val="24"/>
        </w:rPr>
        <w:t xml:space="preserve"> </w:t>
      </w:r>
      <w:r w:rsidRPr="00621BD6">
        <w:rPr>
          <w:rFonts w:ascii="Arial" w:hAnsi="Arial" w:cs="Arial"/>
          <w:sz w:val="24"/>
        </w:rPr>
        <w:t>Públicos</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las</w:t>
      </w:r>
      <w:r>
        <w:rPr>
          <w:rFonts w:ascii="Arial" w:hAnsi="Arial" w:cs="Arial"/>
          <w:sz w:val="24"/>
        </w:rPr>
        <w:t xml:space="preserve"> </w:t>
      </w:r>
      <w:r w:rsidRPr="00621BD6">
        <w:rPr>
          <w:rFonts w:ascii="Arial" w:hAnsi="Arial" w:cs="Arial"/>
          <w:sz w:val="24"/>
        </w:rPr>
        <w:t>habilitaciones</w:t>
      </w:r>
      <w:r>
        <w:rPr>
          <w:rFonts w:ascii="Arial" w:hAnsi="Arial" w:cs="Arial"/>
          <w:sz w:val="24"/>
        </w:rPr>
        <w:t xml:space="preserve"> </w:t>
      </w:r>
      <w:r w:rsidRPr="00621BD6">
        <w:rPr>
          <w:rFonts w:ascii="Arial" w:hAnsi="Arial" w:cs="Arial"/>
          <w:sz w:val="24"/>
        </w:rPr>
        <w:t>urbanas</w:t>
      </w:r>
      <w:r w:rsidR="005457FB">
        <w:rPr>
          <w:rFonts w:ascii="Arial" w:hAnsi="Arial" w:cs="Arial"/>
          <w:sz w:val="24"/>
        </w:rPr>
        <w:t xml:space="preserve"> </w:t>
      </w:r>
      <w:r w:rsidRPr="00621BD6">
        <w:rPr>
          <w:rFonts w:ascii="Arial" w:hAnsi="Arial" w:cs="Arial"/>
          <w:sz w:val="24"/>
        </w:rPr>
        <w:t xml:space="preserve">autorizadas por las </w:t>
      </w:r>
      <w:r w:rsidR="005457FB" w:rsidRPr="00621BD6">
        <w:rPr>
          <w:rFonts w:ascii="Arial" w:hAnsi="Arial" w:cs="Arial"/>
          <w:sz w:val="24"/>
        </w:rPr>
        <w:t xml:space="preserve">modalidades </w:t>
      </w:r>
      <w:r w:rsidRPr="00621BD6">
        <w:rPr>
          <w:rFonts w:ascii="Arial" w:hAnsi="Arial" w:cs="Arial"/>
          <w:sz w:val="24"/>
        </w:rPr>
        <w:t>B, C y D se realizará únicamente con la recepción</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obras,</w:t>
      </w:r>
      <w:r>
        <w:rPr>
          <w:rFonts w:ascii="Arial" w:hAnsi="Arial" w:cs="Arial"/>
          <w:sz w:val="24"/>
        </w:rPr>
        <w:t xml:space="preserve"> </w:t>
      </w:r>
      <w:r w:rsidRPr="00621BD6">
        <w:rPr>
          <w:rFonts w:ascii="Arial" w:hAnsi="Arial" w:cs="Arial"/>
          <w:sz w:val="24"/>
        </w:rPr>
        <w:t>a</w:t>
      </w:r>
      <w:r>
        <w:rPr>
          <w:rFonts w:ascii="Arial" w:hAnsi="Arial" w:cs="Arial"/>
          <w:sz w:val="24"/>
        </w:rPr>
        <w:t xml:space="preserve"> </w:t>
      </w:r>
      <w:r w:rsidRPr="00621BD6">
        <w:rPr>
          <w:rFonts w:ascii="Arial" w:hAnsi="Arial" w:cs="Arial"/>
          <w:sz w:val="24"/>
        </w:rPr>
        <w:t>excepción</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las</w:t>
      </w:r>
      <w:r>
        <w:rPr>
          <w:rFonts w:ascii="Arial" w:hAnsi="Arial" w:cs="Arial"/>
          <w:sz w:val="24"/>
        </w:rPr>
        <w:t xml:space="preserve"> </w:t>
      </w:r>
      <w:r w:rsidRPr="00621BD6">
        <w:rPr>
          <w:rFonts w:ascii="Arial" w:hAnsi="Arial" w:cs="Arial"/>
          <w:sz w:val="24"/>
        </w:rPr>
        <w:t>habilitaciones</w:t>
      </w:r>
      <w:r>
        <w:rPr>
          <w:rFonts w:ascii="Arial" w:hAnsi="Arial" w:cs="Arial"/>
          <w:sz w:val="24"/>
        </w:rPr>
        <w:t xml:space="preserve"> </w:t>
      </w:r>
      <w:r w:rsidRPr="00621BD6">
        <w:rPr>
          <w:rFonts w:ascii="Arial" w:hAnsi="Arial" w:cs="Arial"/>
          <w:sz w:val="24"/>
        </w:rPr>
        <w:t>urbanas</w:t>
      </w:r>
      <w:r>
        <w:rPr>
          <w:rFonts w:ascii="Arial" w:hAnsi="Arial" w:cs="Arial"/>
          <w:sz w:val="24"/>
        </w:rPr>
        <w:t xml:space="preserve"> </w:t>
      </w:r>
      <w:r w:rsidRPr="00621BD6">
        <w:rPr>
          <w:rFonts w:ascii="Arial" w:hAnsi="Arial" w:cs="Arial"/>
          <w:sz w:val="24"/>
        </w:rPr>
        <w:t>con construcción simultánea y venta garantizada de lotes, en las que se realiza la anotación preventiva de la predeclaratoria y la preindependización una vez</w:t>
      </w:r>
      <w:r>
        <w:rPr>
          <w:rFonts w:ascii="Arial" w:hAnsi="Arial" w:cs="Arial"/>
          <w:sz w:val="24"/>
        </w:rPr>
        <w:t xml:space="preserve"> </w:t>
      </w:r>
      <w:r w:rsidRPr="00621BD6">
        <w:rPr>
          <w:rFonts w:ascii="Arial" w:hAnsi="Arial" w:cs="Arial"/>
          <w:sz w:val="24"/>
        </w:rPr>
        <w:t>obtenida</w:t>
      </w:r>
      <w:r>
        <w:rPr>
          <w:rFonts w:ascii="Arial" w:hAnsi="Arial" w:cs="Arial"/>
          <w:sz w:val="24"/>
        </w:rPr>
        <w:t xml:space="preserve"> </w:t>
      </w:r>
      <w:r w:rsidRPr="00621BD6">
        <w:rPr>
          <w:rFonts w:ascii="Arial" w:hAnsi="Arial" w:cs="Arial"/>
          <w:sz w:val="24"/>
        </w:rPr>
        <w:t>la</w:t>
      </w:r>
      <w:r>
        <w:rPr>
          <w:rFonts w:ascii="Arial" w:hAnsi="Arial" w:cs="Arial"/>
          <w:sz w:val="24"/>
        </w:rPr>
        <w:t xml:space="preserve"> </w:t>
      </w:r>
      <w:r w:rsidRPr="00621BD6">
        <w:rPr>
          <w:rFonts w:ascii="Arial" w:hAnsi="Arial" w:cs="Arial"/>
          <w:sz w:val="24"/>
        </w:rPr>
        <w:t>licencia</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edificación.</w:t>
      </w:r>
      <w:r>
        <w:rPr>
          <w:rFonts w:ascii="Arial" w:hAnsi="Arial" w:cs="Arial"/>
          <w:sz w:val="24"/>
        </w:rPr>
        <w:t xml:space="preserve"> </w:t>
      </w:r>
      <w:r w:rsidRPr="00621BD6">
        <w:rPr>
          <w:rFonts w:ascii="Arial" w:hAnsi="Arial" w:cs="Arial"/>
          <w:sz w:val="24"/>
        </w:rPr>
        <w:t>Sin</w:t>
      </w:r>
      <w:r>
        <w:rPr>
          <w:rFonts w:ascii="Arial" w:hAnsi="Arial" w:cs="Arial"/>
          <w:sz w:val="24"/>
        </w:rPr>
        <w:t xml:space="preserve"> </w:t>
      </w:r>
      <w:r w:rsidRPr="00621BD6">
        <w:rPr>
          <w:rFonts w:ascii="Arial" w:hAnsi="Arial" w:cs="Arial"/>
          <w:sz w:val="24"/>
        </w:rPr>
        <w:t>embargo,</w:t>
      </w:r>
      <w:r>
        <w:rPr>
          <w:rFonts w:ascii="Arial" w:hAnsi="Arial" w:cs="Arial"/>
          <w:sz w:val="24"/>
        </w:rPr>
        <w:t xml:space="preserve"> </w:t>
      </w:r>
      <w:r w:rsidRPr="00621BD6">
        <w:rPr>
          <w:rFonts w:ascii="Arial" w:hAnsi="Arial" w:cs="Arial"/>
          <w:sz w:val="24"/>
        </w:rPr>
        <w:t>el</w:t>
      </w:r>
      <w:r>
        <w:rPr>
          <w:rFonts w:ascii="Arial" w:hAnsi="Arial" w:cs="Arial"/>
          <w:sz w:val="24"/>
        </w:rPr>
        <w:t xml:space="preserve"> </w:t>
      </w:r>
      <w:r w:rsidRPr="00621BD6">
        <w:rPr>
          <w:rFonts w:ascii="Arial" w:hAnsi="Arial" w:cs="Arial"/>
          <w:sz w:val="24"/>
        </w:rPr>
        <w:t>proyecto</w:t>
      </w:r>
      <w:r>
        <w:rPr>
          <w:rFonts w:ascii="Arial" w:hAnsi="Arial" w:cs="Arial"/>
          <w:sz w:val="24"/>
        </w:rPr>
        <w:t xml:space="preserve"> </w:t>
      </w:r>
      <w:r w:rsidRPr="00621BD6">
        <w:rPr>
          <w:rFonts w:ascii="Arial" w:hAnsi="Arial" w:cs="Arial"/>
          <w:sz w:val="24"/>
        </w:rPr>
        <w:t>de habilitación urbana aprobado por la municipalidad puede ser inscrito, de ser el caso, bajo responsabilidad del promotor. (</w:t>
      </w:r>
      <w:r w:rsidR="005457FB">
        <w:rPr>
          <w:rFonts w:ascii="Arial" w:hAnsi="Arial" w:cs="Arial"/>
          <w:sz w:val="24"/>
        </w:rPr>
        <w:t>...</w:t>
      </w:r>
      <w:r w:rsidRPr="00621BD6">
        <w:rPr>
          <w:rFonts w:ascii="Arial" w:hAnsi="Arial" w:cs="Arial"/>
          <w:sz w:val="24"/>
        </w:rPr>
        <w:t>)</w:t>
      </w:r>
      <w:r w:rsidR="005457FB">
        <w:rPr>
          <w:rFonts w:ascii="Arial" w:hAnsi="Arial" w:cs="Arial"/>
          <w:sz w:val="24"/>
        </w:rPr>
        <w:t>"</w:t>
      </w:r>
      <w:r w:rsidRPr="00621BD6">
        <w:rPr>
          <w:rFonts w:ascii="Arial" w:hAnsi="Arial" w:cs="Arial"/>
          <w:sz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Actualmente, el artículo mencionado dispone lo siguiente:</w:t>
      </w:r>
    </w:p>
    <w:p w:rsidR="00621BD6" w:rsidRPr="00621BD6" w:rsidRDefault="005457FB"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Pr>
          <w:rFonts w:ascii="Arial" w:hAnsi="Arial" w:cs="Arial"/>
          <w:sz w:val="24"/>
        </w:rPr>
        <w:t>"</w:t>
      </w:r>
      <w:r w:rsidR="00621BD6" w:rsidRPr="00621BD6">
        <w:rPr>
          <w:rFonts w:ascii="Arial" w:hAnsi="Arial" w:cs="Arial"/>
          <w:sz w:val="24"/>
        </w:rPr>
        <w:t>(</w:t>
      </w:r>
      <w:r>
        <w:rPr>
          <w:rFonts w:ascii="Arial" w:hAnsi="Arial" w:cs="Arial"/>
          <w:sz w:val="24"/>
        </w:rPr>
        <w:t>...</w:t>
      </w:r>
      <w:r w:rsidR="00621BD6" w:rsidRPr="00621BD6">
        <w:rPr>
          <w:rFonts w:ascii="Arial" w:hAnsi="Arial" w:cs="Arial"/>
          <w:sz w:val="24"/>
        </w:rPr>
        <w:t>)</w:t>
      </w:r>
      <w:r>
        <w:rPr>
          <w:rFonts w:ascii="Arial" w:hAnsi="Arial" w:cs="Arial"/>
          <w:sz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La</w:t>
      </w:r>
      <w:r>
        <w:rPr>
          <w:rFonts w:ascii="Arial" w:hAnsi="Arial" w:cs="Arial"/>
          <w:sz w:val="24"/>
        </w:rPr>
        <w:t xml:space="preserve"> </w:t>
      </w:r>
      <w:r w:rsidRPr="00621BD6">
        <w:rPr>
          <w:rFonts w:ascii="Arial" w:hAnsi="Arial" w:cs="Arial"/>
          <w:sz w:val="24"/>
        </w:rPr>
        <w:t>inscripción</w:t>
      </w:r>
      <w:r>
        <w:rPr>
          <w:rFonts w:ascii="Arial" w:hAnsi="Arial" w:cs="Arial"/>
          <w:sz w:val="24"/>
        </w:rPr>
        <w:t xml:space="preserve"> </w:t>
      </w:r>
      <w:r w:rsidRPr="00621BD6">
        <w:rPr>
          <w:rFonts w:ascii="Arial" w:hAnsi="Arial" w:cs="Arial"/>
          <w:sz w:val="24"/>
        </w:rPr>
        <w:t>en</w:t>
      </w:r>
      <w:r>
        <w:rPr>
          <w:rFonts w:ascii="Arial" w:hAnsi="Arial" w:cs="Arial"/>
          <w:sz w:val="24"/>
        </w:rPr>
        <w:t xml:space="preserve"> </w:t>
      </w:r>
      <w:r w:rsidRPr="00621BD6">
        <w:rPr>
          <w:rFonts w:ascii="Arial" w:hAnsi="Arial" w:cs="Arial"/>
          <w:sz w:val="24"/>
        </w:rPr>
        <w:t>Registros</w:t>
      </w:r>
      <w:r>
        <w:rPr>
          <w:rFonts w:ascii="Arial" w:hAnsi="Arial" w:cs="Arial"/>
          <w:sz w:val="24"/>
        </w:rPr>
        <w:t xml:space="preserve"> </w:t>
      </w:r>
      <w:r w:rsidRPr="00621BD6">
        <w:rPr>
          <w:rFonts w:ascii="Arial" w:hAnsi="Arial" w:cs="Arial"/>
          <w:sz w:val="24"/>
        </w:rPr>
        <w:t>Públicos</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las</w:t>
      </w:r>
      <w:r>
        <w:rPr>
          <w:rFonts w:ascii="Arial" w:hAnsi="Arial" w:cs="Arial"/>
          <w:sz w:val="24"/>
        </w:rPr>
        <w:t xml:space="preserve"> </w:t>
      </w:r>
      <w:r w:rsidRPr="00621BD6">
        <w:rPr>
          <w:rFonts w:ascii="Arial" w:hAnsi="Arial" w:cs="Arial"/>
          <w:sz w:val="24"/>
        </w:rPr>
        <w:t>habilitaciones</w:t>
      </w:r>
      <w:r>
        <w:rPr>
          <w:rFonts w:ascii="Arial" w:hAnsi="Arial" w:cs="Arial"/>
          <w:sz w:val="24"/>
        </w:rPr>
        <w:t xml:space="preserve"> </w:t>
      </w:r>
      <w:r w:rsidRPr="00621BD6">
        <w:rPr>
          <w:rFonts w:ascii="Arial" w:hAnsi="Arial" w:cs="Arial"/>
          <w:sz w:val="24"/>
        </w:rPr>
        <w:t xml:space="preserve">urbanas autorizadas por las </w:t>
      </w:r>
      <w:r w:rsidR="005457FB" w:rsidRPr="00621BD6">
        <w:rPr>
          <w:rFonts w:ascii="Arial" w:hAnsi="Arial" w:cs="Arial"/>
          <w:sz w:val="24"/>
        </w:rPr>
        <w:t xml:space="preserve">modalidades </w:t>
      </w:r>
      <w:r w:rsidRPr="00621BD6">
        <w:rPr>
          <w:rFonts w:ascii="Arial" w:hAnsi="Arial" w:cs="Arial"/>
          <w:sz w:val="24"/>
        </w:rPr>
        <w:t>B, C y D se realizará únicamente con la recepción</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obras,</w:t>
      </w:r>
      <w:r>
        <w:rPr>
          <w:rFonts w:ascii="Arial" w:hAnsi="Arial" w:cs="Arial"/>
          <w:sz w:val="24"/>
        </w:rPr>
        <w:t xml:space="preserve"> </w:t>
      </w:r>
      <w:r w:rsidRPr="00621BD6">
        <w:rPr>
          <w:rFonts w:ascii="Arial" w:hAnsi="Arial" w:cs="Arial"/>
          <w:sz w:val="24"/>
        </w:rPr>
        <w:t>a</w:t>
      </w:r>
      <w:r>
        <w:rPr>
          <w:rFonts w:ascii="Arial" w:hAnsi="Arial" w:cs="Arial"/>
          <w:sz w:val="24"/>
        </w:rPr>
        <w:t xml:space="preserve"> </w:t>
      </w:r>
      <w:r w:rsidRPr="00621BD6">
        <w:rPr>
          <w:rFonts w:ascii="Arial" w:hAnsi="Arial" w:cs="Arial"/>
          <w:sz w:val="24"/>
        </w:rPr>
        <w:t>excepción</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las</w:t>
      </w:r>
      <w:r>
        <w:rPr>
          <w:rFonts w:ascii="Arial" w:hAnsi="Arial" w:cs="Arial"/>
          <w:sz w:val="24"/>
        </w:rPr>
        <w:t xml:space="preserve"> </w:t>
      </w:r>
      <w:r w:rsidRPr="00621BD6">
        <w:rPr>
          <w:rFonts w:ascii="Arial" w:hAnsi="Arial" w:cs="Arial"/>
          <w:sz w:val="24"/>
        </w:rPr>
        <w:t>habilitaciones</w:t>
      </w:r>
      <w:r>
        <w:rPr>
          <w:rFonts w:ascii="Arial" w:hAnsi="Arial" w:cs="Arial"/>
          <w:sz w:val="24"/>
        </w:rPr>
        <w:t xml:space="preserve"> </w:t>
      </w:r>
      <w:r w:rsidRPr="00621BD6">
        <w:rPr>
          <w:rFonts w:ascii="Arial" w:hAnsi="Arial" w:cs="Arial"/>
          <w:sz w:val="24"/>
        </w:rPr>
        <w:t>urbanas</w:t>
      </w:r>
      <w:r>
        <w:rPr>
          <w:rFonts w:ascii="Arial" w:hAnsi="Arial" w:cs="Arial"/>
          <w:sz w:val="24"/>
        </w:rPr>
        <w:t xml:space="preserve"> </w:t>
      </w:r>
      <w:r w:rsidRPr="00621BD6">
        <w:rPr>
          <w:rFonts w:ascii="Arial" w:hAnsi="Arial" w:cs="Arial"/>
          <w:sz w:val="24"/>
        </w:rPr>
        <w:t>con construcción simultánea y venta garantizada de lotes, en las que se realiza la anotación preventiva de la predeclaratoria y la preindependización una vez</w:t>
      </w:r>
      <w:r>
        <w:rPr>
          <w:rFonts w:ascii="Arial" w:hAnsi="Arial" w:cs="Arial"/>
          <w:sz w:val="24"/>
        </w:rPr>
        <w:t xml:space="preserve"> </w:t>
      </w:r>
      <w:r w:rsidRPr="00621BD6">
        <w:rPr>
          <w:rFonts w:ascii="Arial" w:hAnsi="Arial" w:cs="Arial"/>
          <w:sz w:val="24"/>
        </w:rPr>
        <w:t>obtenida</w:t>
      </w:r>
      <w:r>
        <w:rPr>
          <w:rFonts w:ascii="Arial" w:hAnsi="Arial" w:cs="Arial"/>
          <w:sz w:val="24"/>
        </w:rPr>
        <w:t xml:space="preserve"> </w:t>
      </w:r>
      <w:r w:rsidRPr="00621BD6">
        <w:rPr>
          <w:rFonts w:ascii="Arial" w:hAnsi="Arial" w:cs="Arial"/>
          <w:sz w:val="24"/>
        </w:rPr>
        <w:t>la</w:t>
      </w:r>
      <w:r>
        <w:rPr>
          <w:rFonts w:ascii="Arial" w:hAnsi="Arial" w:cs="Arial"/>
          <w:sz w:val="24"/>
        </w:rPr>
        <w:t xml:space="preserve"> </w:t>
      </w:r>
      <w:r w:rsidRPr="00621BD6">
        <w:rPr>
          <w:rFonts w:ascii="Arial" w:hAnsi="Arial" w:cs="Arial"/>
          <w:sz w:val="24"/>
        </w:rPr>
        <w:t>licencia</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edificación.</w:t>
      </w:r>
      <w:r>
        <w:rPr>
          <w:rFonts w:ascii="Arial" w:hAnsi="Arial" w:cs="Arial"/>
          <w:sz w:val="24"/>
        </w:rPr>
        <w:t xml:space="preserve"> </w:t>
      </w:r>
      <w:r w:rsidRPr="00621BD6">
        <w:rPr>
          <w:rFonts w:ascii="Arial" w:hAnsi="Arial" w:cs="Arial"/>
          <w:sz w:val="24"/>
        </w:rPr>
        <w:t>Sin</w:t>
      </w:r>
      <w:r>
        <w:rPr>
          <w:rFonts w:ascii="Arial" w:hAnsi="Arial" w:cs="Arial"/>
          <w:sz w:val="24"/>
        </w:rPr>
        <w:t xml:space="preserve"> </w:t>
      </w:r>
      <w:r w:rsidRPr="00621BD6">
        <w:rPr>
          <w:rFonts w:ascii="Arial" w:hAnsi="Arial" w:cs="Arial"/>
          <w:sz w:val="24"/>
        </w:rPr>
        <w:t>embargo,</w:t>
      </w:r>
      <w:r>
        <w:rPr>
          <w:rFonts w:ascii="Arial" w:hAnsi="Arial" w:cs="Arial"/>
          <w:sz w:val="24"/>
        </w:rPr>
        <w:t xml:space="preserve"> </w:t>
      </w:r>
      <w:r w:rsidRPr="00621BD6">
        <w:rPr>
          <w:rFonts w:ascii="Arial" w:hAnsi="Arial" w:cs="Arial"/>
          <w:sz w:val="24"/>
        </w:rPr>
        <w:t>el</w:t>
      </w:r>
      <w:r>
        <w:rPr>
          <w:rFonts w:ascii="Arial" w:hAnsi="Arial" w:cs="Arial"/>
          <w:sz w:val="24"/>
        </w:rPr>
        <w:t xml:space="preserve"> </w:t>
      </w:r>
      <w:r w:rsidRPr="00621BD6">
        <w:rPr>
          <w:rFonts w:ascii="Arial" w:hAnsi="Arial" w:cs="Arial"/>
          <w:sz w:val="24"/>
        </w:rPr>
        <w:t>proyecto</w:t>
      </w:r>
      <w:r>
        <w:rPr>
          <w:rFonts w:ascii="Arial" w:hAnsi="Arial" w:cs="Arial"/>
          <w:sz w:val="24"/>
        </w:rPr>
        <w:t xml:space="preserve"> </w:t>
      </w:r>
      <w:r w:rsidRPr="00621BD6">
        <w:rPr>
          <w:rFonts w:ascii="Arial" w:hAnsi="Arial" w:cs="Arial"/>
          <w:sz w:val="24"/>
        </w:rPr>
        <w:t>de habilitación urbana aprobado por la municipalidad puede ser inscrito, de ser el caso, bajo responsabilidad del promotor. (</w:t>
      </w:r>
      <w:r w:rsidR="005457FB">
        <w:rPr>
          <w:rFonts w:ascii="Arial" w:hAnsi="Arial" w:cs="Arial"/>
          <w:sz w:val="24"/>
        </w:rPr>
        <w:t>...</w:t>
      </w:r>
      <w:r w:rsidRPr="00621BD6">
        <w:rPr>
          <w:rFonts w:ascii="Arial" w:hAnsi="Arial" w:cs="Arial"/>
          <w:sz w:val="24"/>
        </w:rPr>
        <w:t>)</w:t>
      </w:r>
      <w:r w:rsidR="005457FB">
        <w:rPr>
          <w:rFonts w:ascii="Arial" w:hAnsi="Arial" w:cs="Arial"/>
          <w:sz w:val="24"/>
        </w:rPr>
        <w:t>"</w:t>
      </w:r>
      <w:r w:rsidRPr="00621BD6">
        <w:rPr>
          <w:rFonts w:ascii="Arial" w:hAnsi="Arial" w:cs="Arial"/>
          <w:sz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 xml:space="preserve">Esto es, que en los supuestos de habilitaciones urbanas tramitadas con la Ley N.° 29090 sin importar su modalidad, mientras no se cuenta con la recepción de obras no procede la inscripción definitiva de la habilitación, sino sólo la anotación preventiva del proyecto de habilitación aprobado por la </w:t>
      </w:r>
      <w:r w:rsidR="00627D7E" w:rsidRPr="00621BD6">
        <w:rPr>
          <w:rFonts w:ascii="Arial" w:hAnsi="Arial" w:cs="Arial"/>
          <w:sz w:val="24"/>
          <w:szCs w:val="24"/>
        </w:rPr>
        <w:t>municipalidad</w:t>
      </w:r>
      <w:r w:rsidRPr="00621BD6">
        <w:rPr>
          <w:rFonts w:ascii="Arial" w:hAnsi="Arial" w:cs="Arial"/>
          <w:sz w:val="24"/>
          <w:szCs w:val="24"/>
        </w:rPr>
        <w:t>; y en el caso de las habilitaciones urbanas con construcción simultánea de viviendas y venta garantizada de lotes, sólo procede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anotación</w:t>
      </w:r>
      <w:r>
        <w:rPr>
          <w:rFonts w:ascii="Arial" w:hAnsi="Arial" w:cs="Arial"/>
          <w:sz w:val="24"/>
          <w:szCs w:val="24"/>
        </w:rPr>
        <w:t xml:space="preserve"> </w:t>
      </w:r>
      <w:r w:rsidRPr="00621BD6">
        <w:rPr>
          <w:rFonts w:ascii="Arial" w:hAnsi="Arial" w:cs="Arial"/>
          <w:sz w:val="24"/>
          <w:szCs w:val="24"/>
        </w:rPr>
        <w:t>preventiva</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habilitación</w:t>
      </w:r>
      <w:r>
        <w:rPr>
          <w:rFonts w:ascii="Arial" w:hAnsi="Arial" w:cs="Arial"/>
          <w:sz w:val="24"/>
          <w:szCs w:val="24"/>
        </w:rPr>
        <w:t xml:space="preserve"> </w:t>
      </w:r>
      <w:r w:rsidRPr="00621BD6">
        <w:rPr>
          <w:rFonts w:ascii="Arial" w:hAnsi="Arial" w:cs="Arial"/>
          <w:sz w:val="24"/>
          <w:szCs w:val="24"/>
        </w:rPr>
        <w:t>y</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anotaciones preventivas de la pre-declaratoria de fábrica y pre-independización, una vez obtenida la licencia de edificación.</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7.</w:t>
      </w:r>
      <w:r>
        <w:rPr>
          <w:rFonts w:ascii="Arial" w:hAnsi="Arial" w:cs="Arial"/>
          <w:b/>
          <w:bCs/>
          <w:sz w:val="24"/>
          <w:szCs w:val="24"/>
        </w:rPr>
        <w:t xml:space="preserve"> </w:t>
      </w:r>
      <w:r w:rsidRPr="00621BD6">
        <w:rPr>
          <w:rFonts w:ascii="Arial" w:hAnsi="Arial" w:cs="Arial"/>
          <w:sz w:val="24"/>
          <w:szCs w:val="24"/>
        </w:rPr>
        <w:t xml:space="preserve">Adicionalmente, el artículo 11 de la Ley N.° 29090 </w:t>
      </w:r>
      <w:r w:rsidR="00627D7E" w:rsidRPr="00627D7E">
        <w:rPr>
          <w:rFonts w:ascii="Arial" w:hAnsi="Arial" w:cs="Arial"/>
          <w:sz w:val="24"/>
          <w:szCs w:val="24"/>
        </w:rPr>
        <w:t>–</w:t>
      </w:r>
      <w:r w:rsidRPr="00621BD6">
        <w:rPr>
          <w:rFonts w:ascii="Arial" w:hAnsi="Arial" w:cs="Arial"/>
          <w:sz w:val="24"/>
          <w:szCs w:val="24"/>
        </w:rPr>
        <w:t xml:space="preserve">vigente a la fecha de solicitud de la habilitación urbana </w:t>
      </w:r>
      <w:r w:rsidRPr="00621BD6">
        <w:rPr>
          <w:rFonts w:ascii="Arial" w:hAnsi="Arial" w:cs="Arial"/>
          <w:i/>
          <w:iCs/>
          <w:sz w:val="24"/>
          <w:szCs w:val="24"/>
        </w:rPr>
        <w:t>submateria</w:t>
      </w:r>
      <w:r w:rsidR="00627D7E" w:rsidRPr="00627D7E">
        <w:rPr>
          <w:rFonts w:ascii="Arial" w:hAnsi="Arial" w:cs="Arial"/>
          <w:iCs/>
          <w:sz w:val="24"/>
          <w:szCs w:val="24"/>
        </w:rPr>
        <w:t>–</w:t>
      </w:r>
      <w:r w:rsidRPr="00621BD6">
        <w:rPr>
          <w:rFonts w:ascii="Arial" w:hAnsi="Arial" w:cs="Arial"/>
          <w:sz w:val="24"/>
          <w:szCs w:val="24"/>
        </w:rPr>
        <w:t xml:space="preserve"> establecía lo siguiente:</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7D7E">
        <w:rPr>
          <w:rFonts w:ascii="Arial" w:hAnsi="Arial" w:cs="Arial"/>
          <w:bCs/>
          <w:sz w:val="24"/>
        </w:rPr>
        <w:t xml:space="preserve">Artículo 11.- </w:t>
      </w:r>
      <w:r w:rsidRPr="00621BD6">
        <w:rPr>
          <w:rFonts w:ascii="Arial" w:hAnsi="Arial" w:cs="Arial"/>
          <w:b/>
          <w:bCs/>
          <w:sz w:val="24"/>
        </w:rPr>
        <w:t>Vigencia</w:t>
      </w:r>
      <w:r w:rsidR="00627D7E">
        <w:rPr>
          <w:rFonts w:ascii="Arial" w:hAnsi="Arial" w:cs="Arial"/>
          <w:b/>
          <w:bCs/>
          <w:sz w:val="24"/>
        </w:rPr>
        <w:t xml:space="preserve">. </w:t>
      </w:r>
      <w:r w:rsidRPr="00621BD6">
        <w:rPr>
          <w:rFonts w:ascii="Arial" w:hAnsi="Arial" w:cs="Arial"/>
          <w:sz w:val="24"/>
        </w:rPr>
        <w:t xml:space="preserve">Las licencias de habilitación y de edificación, reguladas por la presente </w:t>
      </w:r>
      <w:r w:rsidR="00627D7E" w:rsidRPr="00621BD6">
        <w:rPr>
          <w:rFonts w:ascii="Arial" w:hAnsi="Arial" w:cs="Arial"/>
          <w:sz w:val="24"/>
        </w:rPr>
        <w:t>ley</w:t>
      </w:r>
      <w:r w:rsidRPr="00621BD6">
        <w:rPr>
          <w:rFonts w:ascii="Arial" w:hAnsi="Arial" w:cs="Arial"/>
          <w:sz w:val="24"/>
        </w:rPr>
        <w:t>,</w:t>
      </w:r>
      <w:r w:rsidR="00627D7E">
        <w:rPr>
          <w:rFonts w:ascii="Arial" w:hAnsi="Arial" w:cs="Arial"/>
          <w:sz w:val="24"/>
        </w:rPr>
        <w:t xml:space="preserve"> </w:t>
      </w:r>
      <w:r w:rsidRPr="00621BD6">
        <w:rPr>
          <w:rFonts w:ascii="Arial" w:hAnsi="Arial" w:cs="Arial"/>
          <w:sz w:val="24"/>
        </w:rPr>
        <w:t xml:space="preserve">tendrán una </w:t>
      </w:r>
      <w:r w:rsidRPr="00621BD6">
        <w:rPr>
          <w:rFonts w:ascii="Arial" w:hAnsi="Arial" w:cs="Arial"/>
          <w:b/>
          <w:bCs/>
          <w:sz w:val="24"/>
        </w:rPr>
        <w:t>vigencia de treinta y seis (36) meses</w:t>
      </w:r>
      <w:r w:rsidRPr="00621BD6">
        <w:rPr>
          <w:rFonts w:ascii="Arial" w:hAnsi="Arial" w:cs="Arial"/>
          <w:sz w:val="24"/>
        </w:rPr>
        <w:t>, prorrogables por doce</w:t>
      </w:r>
      <w:r w:rsidR="00627D7E">
        <w:rPr>
          <w:rFonts w:ascii="Arial" w:hAnsi="Arial" w:cs="Arial"/>
          <w:sz w:val="24"/>
        </w:rPr>
        <w:t xml:space="preserve"> </w:t>
      </w:r>
      <w:r w:rsidRPr="00621BD6">
        <w:rPr>
          <w:rFonts w:ascii="Arial" w:hAnsi="Arial" w:cs="Arial"/>
          <w:sz w:val="24"/>
        </w:rPr>
        <w:t>(12) meses calendario y por única vez. La prórroga deberá solicitarse dentro</w:t>
      </w:r>
      <w:r w:rsidR="00627D7E">
        <w:rPr>
          <w:rFonts w:ascii="Arial" w:hAnsi="Arial" w:cs="Arial"/>
          <w:sz w:val="24"/>
        </w:rPr>
        <w:t xml:space="preserve"> </w:t>
      </w:r>
      <w:r w:rsidRPr="00621BD6">
        <w:rPr>
          <w:rFonts w:ascii="Arial" w:hAnsi="Arial" w:cs="Arial"/>
          <w:sz w:val="24"/>
        </w:rPr>
        <w:t>de los treinta (30) días calendario, anteriores al vencimiento de la licencia otorgada, sin costo adicional alguno.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 xml:space="preserve">El inicio de la vigencia de las licencias será </w:t>
      </w:r>
      <w:r w:rsidRPr="00621BD6">
        <w:rPr>
          <w:rFonts w:ascii="Arial" w:hAnsi="Arial" w:cs="Arial"/>
          <w:b/>
          <w:bCs/>
          <w:sz w:val="24"/>
        </w:rPr>
        <w:t xml:space="preserve">computado </w:t>
      </w:r>
      <w:r w:rsidRPr="00621BD6">
        <w:rPr>
          <w:rFonts w:ascii="Arial" w:hAnsi="Arial" w:cs="Arial"/>
          <w:sz w:val="24"/>
        </w:rPr>
        <w:t xml:space="preserve">para todas las Modalidades, </w:t>
      </w:r>
      <w:r w:rsidRPr="00621BD6">
        <w:rPr>
          <w:rFonts w:ascii="Arial" w:hAnsi="Arial" w:cs="Arial"/>
          <w:b/>
          <w:bCs/>
          <w:sz w:val="24"/>
        </w:rPr>
        <w:t>a partir del ingreso del expediente a la municipalidad respectiva.</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Cuando se trate de una habilitación urbana o edificaciones a ejecutarse por etapas, se podrá solicitar una licencia por cada etapa, en base a un proyecto integral cuya aprobación tendrá una vigencia de diez (10) años.</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La vigencia de las licencias reguladas por la presente Ley, sólo podrá ser interrumpida por las municipalidades, en los siguientes casos:</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a.</w:t>
      </w:r>
      <w:r>
        <w:rPr>
          <w:rFonts w:ascii="Arial" w:hAnsi="Arial" w:cs="Arial"/>
          <w:sz w:val="24"/>
        </w:rPr>
        <w:t xml:space="preserve"> </w:t>
      </w:r>
      <w:r w:rsidRPr="00621BD6">
        <w:rPr>
          <w:rFonts w:ascii="Arial" w:hAnsi="Arial" w:cs="Arial"/>
          <w:sz w:val="24"/>
        </w:rPr>
        <w:t>Incumplimiento</w:t>
      </w:r>
      <w:r>
        <w:rPr>
          <w:rFonts w:ascii="Arial" w:hAnsi="Arial" w:cs="Arial"/>
          <w:sz w:val="24"/>
        </w:rPr>
        <w:t xml:space="preserve"> </w:t>
      </w:r>
      <w:r w:rsidRPr="00621BD6">
        <w:rPr>
          <w:rFonts w:ascii="Arial" w:hAnsi="Arial" w:cs="Arial"/>
          <w:sz w:val="24"/>
        </w:rPr>
        <w:t>de</w:t>
      </w:r>
      <w:r>
        <w:rPr>
          <w:rFonts w:ascii="Arial" w:hAnsi="Arial" w:cs="Arial"/>
          <w:sz w:val="24"/>
        </w:rPr>
        <w:t xml:space="preserve"> </w:t>
      </w:r>
      <w:r w:rsidRPr="00621BD6">
        <w:rPr>
          <w:rFonts w:ascii="Arial" w:hAnsi="Arial" w:cs="Arial"/>
          <w:sz w:val="24"/>
        </w:rPr>
        <w:t>las</w:t>
      </w:r>
      <w:r>
        <w:rPr>
          <w:rFonts w:ascii="Arial" w:hAnsi="Arial" w:cs="Arial"/>
          <w:sz w:val="24"/>
        </w:rPr>
        <w:t xml:space="preserve"> </w:t>
      </w:r>
      <w:r w:rsidRPr="00621BD6">
        <w:rPr>
          <w:rFonts w:ascii="Arial" w:hAnsi="Arial" w:cs="Arial"/>
          <w:sz w:val="24"/>
        </w:rPr>
        <w:t>normas</w:t>
      </w:r>
      <w:r>
        <w:rPr>
          <w:rFonts w:ascii="Arial" w:hAnsi="Arial" w:cs="Arial"/>
          <w:sz w:val="24"/>
        </w:rPr>
        <w:t xml:space="preserve"> </w:t>
      </w:r>
      <w:r w:rsidRPr="00621BD6">
        <w:rPr>
          <w:rFonts w:ascii="Arial" w:hAnsi="Arial" w:cs="Arial"/>
          <w:sz w:val="24"/>
        </w:rPr>
        <w:t>urbanísticas</w:t>
      </w:r>
      <w:r>
        <w:rPr>
          <w:rFonts w:ascii="Arial" w:hAnsi="Arial" w:cs="Arial"/>
          <w:sz w:val="24"/>
        </w:rPr>
        <w:t xml:space="preserve"> </w:t>
      </w:r>
      <w:r w:rsidRPr="00621BD6">
        <w:rPr>
          <w:rFonts w:ascii="Arial" w:hAnsi="Arial" w:cs="Arial"/>
          <w:sz w:val="24"/>
        </w:rPr>
        <w:t>y/o</w:t>
      </w:r>
      <w:r>
        <w:rPr>
          <w:rFonts w:ascii="Arial" w:hAnsi="Arial" w:cs="Arial"/>
          <w:sz w:val="24"/>
        </w:rPr>
        <w:t xml:space="preserve"> </w:t>
      </w:r>
      <w:r w:rsidRPr="00621BD6">
        <w:rPr>
          <w:rFonts w:ascii="Arial" w:hAnsi="Arial" w:cs="Arial"/>
          <w:sz w:val="24"/>
        </w:rPr>
        <w:t>normas</w:t>
      </w:r>
      <w:r>
        <w:rPr>
          <w:rFonts w:ascii="Arial" w:hAnsi="Arial" w:cs="Arial"/>
          <w:sz w:val="24"/>
        </w:rPr>
        <w:t xml:space="preserve"> </w:t>
      </w:r>
      <w:r w:rsidRPr="00621BD6">
        <w:rPr>
          <w:rFonts w:ascii="Arial" w:hAnsi="Arial" w:cs="Arial"/>
          <w:sz w:val="24"/>
        </w:rPr>
        <w:t>técnicas</w:t>
      </w:r>
      <w:r>
        <w:rPr>
          <w:rFonts w:ascii="Arial" w:hAnsi="Arial" w:cs="Arial"/>
          <w:sz w:val="24"/>
        </w:rPr>
        <w:t xml:space="preserve"> </w:t>
      </w:r>
      <w:r w:rsidRPr="00621BD6">
        <w:rPr>
          <w:rFonts w:ascii="Arial" w:hAnsi="Arial" w:cs="Arial"/>
          <w:sz w:val="24"/>
        </w:rPr>
        <w:t>de edificación con las que fue otorgada la licencia; 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lastRenderedPageBreak/>
        <w:t>b. riesgo inminente contra la seguridad e integridad de las personas y/o edificaciones, previa opinión favorable del Instituto Nacional de Defensa Civil.</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Los informes técni</w:t>
      </w:r>
      <w:r w:rsidR="00627D7E" w:rsidRPr="00621BD6">
        <w:rPr>
          <w:rFonts w:ascii="Arial" w:hAnsi="Arial" w:cs="Arial"/>
          <w:sz w:val="24"/>
        </w:rPr>
        <w:t>cos de los revisores urbanos y los dictámenes de las comisiones técnicas tendrán u</w:t>
      </w:r>
      <w:r w:rsidRPr="00621BD6">
        <w:rPr>
          <w:rFonts w:ascii="Arial" w:hAnsi="Arial" w:cs="Arial"/>
          <w:sz w:val="24"/>
        </w:rPr>
        <w:t>na vigencia no menor de treinta y seis (36) meses. (El resaltado es nuestro).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Es decir, del contenido del artículo 11 se establece que el plazo de vigencia de la licencia de habilitación urbana es de 36 meses o</w:t>
      </w:r>
      <w:r>
        <w:rPr>
          <w:rFonts w:ascii="Arial" w:hAnsi="Arial" w:cs="Arial"/>
          <w:sz w:val="24"/>
          <w:szCs w:val="24"/>
        </w:rPr>
        <w:t xml:space="preserve"> </w:t>
      </w:r>
      <w:r w:rsidRPr="00621BD6">
        <w:rPr>
          <w:rFonts w:ascii="Arial" w:hAnsi="Arial" w:cs="Arial"/>
          <w:sz w:val="24"/>
          <w:szCs w:val="24"/>
        </w:rPr>
        <w:t>su equivalente de 3 años, pudiendo prorrogarse por 12 meses calendario y</w:t>
      </w:r>
      <w:r w:rsidR="00627D7E">
        <w:rPr>
          <w:rFonts w:ascii="Arial" w:hAnsi="Arial" w:cs="Arial"/>
          <w:sz w:val="24"/>
          <w:szCs w:val="24"/>
        </w:rPr>
        <w:t xml:space="preserve"> </w:t>
      </w:r>
      <w:r w:rsidRPr="00621BD6">
        <w:rPr>
          <w:rFonts w:ascii="Arial" w:hAnsi="Arial" w:cs="Arial"/>
          <w:sz w:val="24"/>
          <w:szCs w:val="24"/>
        </w:rPr>
        <w:t>por única vez.</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8.</w:t>
      </w:r>
      <w:r>
        <w:rPr>
          <w:rFonts w:ascii="Arial" w:hAnsi="Arial" w:cs="Arial"/>
          <w:b/>
          <w:bCs/>
          <w:sz w:val="24"/>
          <w:szCs w:val="24"/>
        </w:rPr>
        <w:t xml:space="preserve"> </w:t>
      </w:r>
      <w:r w:rsidRPr="00621BD6">
        <w:rPr>
          <w:rFonts w:ascii="Arial" w:hAnsi="Arial" w:cs="Arial"/>
          <w:sz w:val="24"/>
          <w:szCs w:val="24"/>
        </w:rPr>
        <w:t>En el caso materia de análisis, atendiendo a la rogatoria formulada por el</w:t>
      </w:r>
      <w:r w:rsidR="00627D7E">
        <w:rPr>
          <w:rFonts w:ascii="Arial" w:hAnsi="Arial" w:cs="Arial"/>
          <w:sz w:val="24"/>
          <w:szCs w:val="24"/>
        </w:rPr>
        <w:t xml:space="preserve"> </w:t>
      </w:r>
      <w:r w:rsidRPr="00621BD6">
        <w:rPr>
          <w:rFonts w:ascii="Arial" w:hAnsi="Arial" w:cs="Arial"/>
          <w:sz w:val="24"/>
          <w:szCs w:val="24"/>
        </w:rPr>
        <w:t>usuario descrita ampliamente en el rubro I de la presente, es preciso advertir que de acuerdo a los</w:t>
      </w:r>
      <w:r>
        <w:rPr>
          <w:rFonts w:ascii="Arial" w:hAnsi="Arial" w:cs="Arial"/>
          <w:sz w:val="24"/>
          <w:szCs w:val="24"/>
        </w:rPr>
        <w:t xml:space="preserve"> </w:t>
      </w:r>
      <w:r w:rsidRPr="00621BD6">
        <w:rPr>
          <w:rFonts w:ascii="Arial" w:hAnsi="Arial" w:cs="Arial"/>
          <w:sz w:val="24"/>
          <w:szCs w:val="24"/>
        </w:rPr>
        <w:t>antecedentes registrales</w:t>
      </w:r>
      <w:r>
        <w:rPr>
          <w:rFonts w:ascii="Arial" w:hAnsi="Arial" w:cs="Arial"/>
          <w:sz w:val="24"/>
          <w:szCs w:val="24"/>
        </w:rPr>
        <w:t xml:space="preserve"> </w:t>
      </w:r>
      <w:r w:rsidRPr="00621BD6">
        <w:rPr>
          <w:rFonts w:ascii="Arial" w:hAnsi="Arial" w:cs="Arial"/>
          <w:sz w:val="24"/>
          <w:szCs w:val="24"/>
        </w:rPr>
        <w:t xml:space="preserve">de la </w:t>
      </w:r>
      <w:r w:rsidR="00627D7E" w:rsidRPr="00621BD6">
        <w:rPr>
          <w:rFonts w:ascii="Arial" w:hAnsi="Arial" w:cs="Arial"/>
          <w:sz w:val="24"/>
          <w:szCs w:val="24"/>
        </w:rPr>
        <w:t xml:space="preserve">Partida </w:t>
      </w:r>
      <w:r w:rsidRPr="00621BD6">
        <w:rPr>
          <w:rFonts w:ascii="Arial" w:hAnsi="Arial" w:cs="Arial"/>
          <w:sz w:val="24"/>
          <w:szCs w:val="24"/>
        </w:rPr>
        <w:t>N</w:t>
      </w:r>
      <w:r w:rsidR="00627D7E">
        <w:rPr>
          <w:rFonts w:ascii="Arial" w:hAnsi="Arial" w:cs="Arial"/>
          <w:sz w:val="24"/>
          <w:szCs w:val="24"/>
        </w:rPr>
        <w:t>.</w:t>
      </w:r>
      <w:r w:rsidRPr="00621BD6">
        <w:rPr>
          <w:rFonts w:ascii="Arial" w:hAnsi="Arial" w:cs="Arial"/>
          <w:sz w:val="24"/>
          <w:szCs w:val="24"/>
        </w:rPr>
        <w:t xml:space="preserve">° P03303647 del Registro de Predios de Lima, fluye que la licencia de habilitación urbana que dio lugar a la preindependización del inmueble </w:t>
      </w:r>
      <w:r w:rsidRPr="00621BD6">
        <w:rPr>
          <w:rFonts w:ascii="Arial" w:hAnsi="Arial" w:cs="Arial"/>
          <w:i/>
          <w:iCs/>
          <w:sz w:val="24"/>
          <w:szCs w:val="24"/>
        </w:rPr>
        <w:t xml:space="preserve">submateria, </w:t>
      </w:r>
      <w:r w:rsidRPr="00621BD6">
        <w:rPr>
          <w:rFonts w:ascii="Arial" w:hAnsi="Arial" w:cs="Arial"/>
          <w:sz w:val="24"/>
          <w:szCs w:val="24"/>
        </w:rPr>
        <w:t>se aprobó bajo los alcances de la Ley N.° 29090.</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 xml:space="preserve">En el asiento 00012 de la </w:t>
      </w:r>
      <w:r w:rsidR="00627D7E" w:rsidRPr="00621BD6">
        <w:rPr>
          <w:rFonts w:ascii="Arial" w:hAnsi="Arial" w:cs="Arial"/>
          <w:sz w:val="24"/>
          <w:szCs w:val="24"/>
        </w:rPr>
        <w:t xml:space="preserve">Partida Matriz </w:t>
      </w:r>
      <w:r w:rsidRPr="00621BD6">
        <w:rPr>
          <w:rFonts w:ascii="Arial" w:hAnsi="Arial" w:cs="Arial"/>
          <w:sz w:val="24"/>
          <w:szCs w:val="24"/>
        </w:rPr>
        <w:t>N.° P03154716 del Registro de Predios de Lima consta registrada, en mérito a la Resolución de Gerencia N.° 298-2012-GDUR/MDP</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05.10.2012</w:t>
      </w:r>
      <w:r>
        <w:rPr>
          <w:rFonts w:ascii="Arial" w:hAnsi="Arial" w:cs="Arial"/>
          <w:sz w:val="24"/>
          <w:szCs w:val="24"/>
        </w:rPr>
        <w:t xml:space="preserve"> </w:t>
      </w:r>
      <w:r w:rsidRPr="00621BD6">
        <w:rPr>
          <w:rFonts w:ascii="Arial" w:hAnsi="Arial" w:cs="Arial"/>
          <w:sz w:val="24"/>
          <w:szCs w:val="24"/>
        </w:rPr>
        <w:t>y</w:t>
      </w:r>
      <w:r>
        <w:rPr>
          <w:rFonts w:ascii="Arial" w:hAnsi="Arial" w:cs="Arial"/>
          <w:sz w:val="24"/>
          <w:szCs w:val="24"/>
        </w:rPr>
        <w:t xml:space="preserve"> </w:t>
      </w:r>
      <w:r w:rsidRPr="00621BD6">
        <w:rPr>
          <w:rFonts w:ascii="Arial" w:hAnsi="Arial" w:cs="Arial"/>
          <w:sz w:val="24"/>
          <w:szCs w:val="24"/>
        </w:rPr>
        <w:t>Resolución</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Gerencia N° 136-2014-MDP-GDUR del 22.05.2014, expedidas por la Municipalidad Distrital</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Pachacamac,</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anotación</w:t>
      </w:r>
      <w:r>
        <w:rPr>
          <w:rFonts w:ascii="Arial" w:hAnsi="Arial" w:cs="Arial"/>
          <w:sz w:val="24"/>
          <w:szCs w:val="24"/>
        </w:rPr>
        <w:t xml:space="preserve"> </w:t>
      </w:r>
      <w:r w:rsidRPr="00621BD6">
        <w:rPr>
          <w:rFonts w:ascii="Arial" w:hAnsi="Arial" w:cs="Arial"/>
          <w:sz w:val="24"/>
          <w:szCs w:val="24"/>
        </w:rPr>
        <w:t>preventiva</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00627D7E" w:rsidRPr="00621BD6">
        <w:rPr>
          <w:rFonts w:ascii="Arial" w:hAnsi="Arial" w:cs="Arial"/>
          <w:sz w:val="24"/>
          <w:szCs w:val="24"/>
        </w:rPr>
        <w:t>proyecto</w:t>
      </w:r>
      <w:r w:rsidR="00627D7E">
        <w:rPr>
          <w:rFonts w:ascii="Arial" w:hAnsi="Arial" w:cs="Arial"/>
          <w:sz w:val="24"/>
          <w:szCs w:val="24"/>
        </w:rPr>
        <w:t xml:space="preserve"> </w:t>
      </w:r>
      <w:r w:rsidR="00627D7E" w:rsidRPr="00621BD6">
        <w:rPr>
          <w:rFonts w:ascii="Arial" w:hAnsi="Arial" w:cs="Arial"/>
          <w:sz w:val="24"/>
          <w:szCs w:val="24"/>
        </w:rPr>
        <w:t>de</w:t>
      </w:r>
      <w:r w:rsidR="00627D7E">
        <w:rPr>
          <w:rFonts w:ascii="Arial" w:hAnsi="Arial" w:cs="Arial"/>
          <w:sz w:val="24"/>
          <w:szCs w:val="24"/>
        </w:rPr>
        <w:t xml:space="preserve"> </w:t>
      </w:r>
      <w:r w:rsidR="00627D7E" w:rsidRPr="00621BD6">
        <w:rPr>
          <w:rFonts w:ascii="Arial" w:hAnsi="Arial" w:cs="Arial"/>
          <w:sz w:val="24"/>
          <w:szCs w:val="24"/>
        </w:rPr>
        <w:t>habilitación</w:t>
      </w:r>
      <w:r w:rsidR="00627D7E">
        <w:rPr>
          <w:rFonts w:ascii="Arial" w:hAnsi="Arial" w:cs="Arial"/>
          <w:sz w:val="24"/>
          <w:szCs w:val="24"/>
        </w:rPr>
        <w:t xml:space="preserve"> </w:t>
      </w:r>
      <w:r w:rsidR="00627D7E" w:rsidRPr="00621BD6">
        <w:rPr>
          <w:rFonts w:ascii="Arial" w:hAnsi="Arial" w:cs="Arial"/>
          <w:sz w:val="24"/>
          <w:szCs w:val="24"/>
        </w:rPr>
        <w:t>urbana</w:t>
      </w:r>
      <w:r w:rsidR="00627D7E">
        <w:rPr>
          <w:rFonts w:ascii="Arial" w:hAnsi="Arial" w:cs="Arial"/>
          <w:sz w:val="24"/>
          <w:szCs w:val="24"/>
        </w:rPr>
        <w:t xml:space="preserve"> </w:t>
      </w:r>
      <w:r w:rsidR="00627D7E" w:rsidRPr="00621BD6">
        <w:rPr>
          <w:rFonts w:ascii="Arial" w:hAnsi="Arial" w:cs="Arial"/>
          <w:sz w:val="24"/>
          <w:szCs w:val="24"/>
        </w:rPr>
        <w:t>para</w:t>
      </w:r>
      <w:r w:rsidR="00627D7E">
        <w:rPr>
          <w:rFonts w:ascii="Arial" w:hAnsi="Arial" w:cs="Arial"/>
          <w:sz w:val="24"/>
          <w:szCs w:val="24"/>
        </w:rPr>
        <w:t xml:space="preserve"> </w:t>
      </w:r>
      <w:r w:rsidRPr="00621BD6">
        <w:rPr>
          <w:rFonts w:ascii="Arial" w:hAnsi="Arial" w:cs="Arial"/>
          <w:sz w:val="24"/>
          <w:szCs w:val="24"/>
        </w:rPr>
        <w:t>fines</w:t>
      </w:r>
      <w:r>
        <w:rPr>
          <w:rFonts w:ascii="Arial" w:hAnsi="Arial" w:cs="Arial"/>
          <w:sz w:val="24"/>
          <w:szCs w:val="24"/>
        </w:rPr>
        <w:t xml:space="preserve"> </w:t>
      </w:r>
      <w:r w:rsidRPr="00621BD6">
        <w:rPr>
          <w:rFonts w:ascii="Arial" w:hAnsi="Arial" w:cs="Arial"/>
          <w:sz w:val="24"/>
          <w:szCs w:val="24"/>
        </w:rPr>
        <w:t>residenciales,</w:t>
      </w:r>
      <w:r>
        <w:rPr>
          <w:rFonts w:ascii="Arial" w:hAnsi="Arial" w:cs="Arial"/>
          <w:sz w:val="24"/>
          <w:szCs w:val="24"/>
        </w:rPr>
        <w:t xml:space="preserve"> </w:t>
      </w:r>
      <w:r w:rsidRPr="00621BD6">
        <w:rPr>
          <w:rFonts w:ascii="Arial" w:hAnsi="Arial" w:cs="Arial"/>
          <w:sz w:val="24"/>
          <w:szCs w:val="24"/>
        </w:rPr>
        <w:t>autorizándose</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w:t>
      </w:r>
      <w:r w:rsidR="00627D7E">
        <w:rPr>
          <w:rFonts w:ascii="Arial" w:hAnsi="Arial" w:cs="Arial"/>
          <w:sz w:val="24"/>
          <w:szCs w:val="24"/>
        </w:rPr>
        <w:t xml:space="preserve"> </w:t>
      </w:r>
      <w:r w:rsidRPr="00621BD6">
        <w:rPr>
          <w:rFonts w:ascii="Arial" w:hAnsi="Arial" w:cs="Arial"/>
          <w:sz w:val="24"/>
          <w:szCs w:val="24"/>
        </w:rPr>
        <w:t>Compañía Inmobiliaria Constructora y de Transportes Estrella Andina S.A.</w:t>
      </w:r>
      <w:r w:rsidR="00627D7E">
        <w:rPr>
          <w:rFonts w:ascii="Arial" w:hAnsi="Arial" w:cs="Arial"/>
          <w:sz w:val="24"/>
          <w:szCs w:val="24"/>
        </w:rPr>
        <w:t xml:space="preserve"> </w:t>
      </w:r>
      <w:r>
        <w:rPr>
          <w:rFonts w:ascii="Arial" w:hAnsi="Arial" w:cs="Arial"/>
          <w:sz w:val="24"/>
          <w:szCs w:val="24"/>
        </w:rPr>
        <w:t>-</w:t>
      </w:r>
      <w:r w:rsidRPr="00621BD6">
        <w:rPr>
          <w:rFonts w:ascii="Arial" w:hAnsi="Arial" w:cs="Arial"/>
          <w:sz w:val="24"/>
          <w:szCs w:val="24"/>
        </w:rPr>
        <w:t xml:space="preserve"> </w:t>
      </w:r>
      <w:r w:rsidR="00627D7E" w:rsidRPr="00621BD6">
        <w:rPr>
          <w:rFonts w:ascii="Arial" w:hAnsi="Arial" w:cs="Arial"/>
          <w:sz w:val="24"/>
          <w:szCs w:val="24"/>
        </w:rPr>
        <w:t>Cicontesa</w:t>
      </w:r>
      <w:r w:rsidRPr="00621BD6">
        <w:rPr>
          <w:rFonts w:ascii="Arial" w:hAnsi="Arial" w:cs="Arial"/>
          <w:sz w:val="24"/>
          <w:szCs w:val="24"/>
        </w:rPr>
        <w:t>, a celebrar contratos de venta garantizada, respecto a los lotes que constituyen el área útil de la habilitación urbana, procediendo a la preindependización de los mismos. Asimismo, se deja constancia que la</w:t>
      </w:r>
      <w:r>
        <w:rPr>
          <w:rFonts w:ascii="Arial" w:hAnsi="Arial" w:cs="Arial"/>
          <w:sz w:val="24"/>
          <w:szCs w:val="24"/>
        </w:rPr>
        <w:t xml:space="preserve"> </w:t>
      </w:r>
      <w:r w:rsidRPr="00621BD6">
        <w:rPr>
          <w:rFonts w:ascii="Arial" w:hAnsi="Arial" w:cs="Arial"/>
          <w:sz w:val="24"/>
          <w:szCs w:val="24"/>
        </w:rPr>
        <w:t>presente</w:t>
      </w:r>
      <w:r>
        <w:rPr>
          <w:rFonts w:ascii="Arial" w:hAnsi="Arial" w:cs="Arial"/>
          <w:sz w:val="24"/>
          <w:szCs w:val="24"/>
        </w:rPr>
        <w:t xml:space="preserve"> </w:t>
      </w:r>
      <w:r w:rsidRPr="00621BD6">
        <w:rPr>
          <w:rFonts w:ascii="Arial" w:hAnsi="Arial" w:cs="Arial"/>
          <w:sz w:val="24"/>
          <w:szCs w:val="24"/>
        </w:rPr>
        <w:t>anotación</w:t>
      </w:r>
      <w:r>
        <w:rPr>
          <w:rFonts w:ascii="Arial" w:hAnsi="Arial" w:cs="Arial"/>
          <w:sz w:val="24"/>
          <w:szCs w:val="24"/>
        </w:rPr>
        <w:t xml:space="preserve"> </w:t>
      </w:r>
      <w:r w:rsidRPr="00621BD6">
        <w:rPr>
          <w:rFonts w:ascii="Arial" w:hAnsi="Arial" w:cs="Arial"/>
          <w:sz w:val="24"/>
          <w:szCs w:val="24"/>
        </w:rPr>
        <w:t>preventiva</w:t>
      </w:r>
      <w:r>
        <w:rPr>
          <w:rFonts w:ascii="Arial" w:hAnsi="Arial" w:cs="Arial"/>
          <w:sz w:val="24"/>
          <w:szCs w:val="24"/>
        </w:rPr>
        <w:t xml:space="preserve"> </w:t>
      </w:r>
      <w:r w:rsidRPr="00621BD6">
        <w:rPr>
          <w:rFonts w:ascii="Arial" w:hAnsi="Arial" w:cs="Arial"/>
          <w:sz w:val="24"/>
          <w:szCs w:val="24"/>
        </w:rPr>
        <w:t>caducará</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pleno</w:t>
      </w:r>
      <w:r>
        <w:rPr>
          <w:rFonts w:ascii="Arial" w:hAnsi="Arial" w:cs="Arial"/>
          <w:sz w:val="24"/>
          <w:szCs w:val="24"/>
        </w:rPr>
        <w:t xml:space="preserve"> </w:t>
      </w:r>
      <w:r w:rsidRPr="00621BD6">
        <w:rPr>
          <w:rFonts w:ascii="Arial" w:hAnsi="Arial" w:cs="Arial"/>
          <w:sz w:val="24"/>
          <w:szCs w:val="24"/>
        </w:rPr>
        <w:t>derecho</w:t>
      </w:r>
      <w:r>
        <w:rPr>
          <w:rFonts w:ascii="Arial" w:hAnsi="Arial" w:cs="Arial"/>
          <w:sz w:val="24"/>
          <w:szCs w:val="24"/>
        </w:rPr>
        <w:t xml:space="preserve"> </w:t>
      </w:r>
      <w:r w:rsidRPr="00621BD6">
        <w:rPr>
          <w:rFonts w:ascii="Arial" w:hAnsi="Arial" w:cs="Arial"/>
          <w:sz w:val="24"/>
          <w:szCs w:val="24"/>
        </w:rPr>
        <w:t>el</w:t>
      </w:r>
      <w:r w:rsidR="00627D7E">
        <w:rPr>
          <w:rFonts w:ascii="Arial" w:hAnsi="Arial" w:cs="Arial"/>
          <w:sz w:val="24"/>
          <w:szCs w:val="24"/>
        </w:rPr>
        <w:t xml:space="preserve"> </w:t>
      </w:r>
      <w:r w:rsidRPr="00621BD6">
        <w:rPr>
          <w:rFonts w:ascii="Arial" w:hAnsi="Arial" w:cs="Arial"/>
          <w:sz w:val="24"/>
          <w:szCs w:val="24"/>
        </w:rPr>
        <w:t>12.03.2015, conforme lo dispone el artículo 11 de la Ley N</w:t>
      </w:r>
      <w:r w:rsidR="00627D7E">
        <w:rPr>
          <w:rFonts w:ascii="Arial" w:hAnsi="Arial" w:cs="Arial"/>
          <w:sz w:val="24"/>
          <w:szCs w:val="24"/>
        </w:rPr>
        <w:t>.</w:t>
      </w:r>
      <w:r w:rsidRPr="00621BD6">
        <w:rPr>
          <w:rFonts w:ascii="Arial" w:hAnsi="Arial" w:cs="Arial"/>
          <w:sz w:val="24"/>
          <w:szCs w:val="24"/>
        </w:rPr>
        <w:t>° 29090. Así consta en el título archivado 559123 del 03.06.2014.</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9.</w:t>
      </w:r>
      <w:r>
        <w:rPr>
          <w:rFonts w:ascii="Arial" w:hAnsi="Arial" w:cs="Arial"/>
          <w:b/>
          <w:bCs/>
          <w:sz w:val="24"/>
          <w:szCs w:val="24"/>
        </w:rPr>
        <w:t xml:space="preserve"> </w:t>
      </w:r>
      <w:r w:rsidRPr="00621BD6">
        <w:rPr>
          <w:rFonts w:ascii="Arial" w:hAnsi="Arial" w:cs="Arial"/>
          <w:sz w:val="24"/>
          <w:szCs w:val="24"/>
        </w:rPr>
        <w:t>Así, verificada la documentación existente en el título archivado 559123 del</w:t>
      </w:r>
      <w:r>
        <w:rPr>
          <w:rFonts w:ascii="Arial" w:hAnsi="Arial" w:cs="Arial"/>
          <w:sz w:val="24"/>
          <w:szCs w:val="24"/>
        </w:rPr>
        <w:t xml:space="preserve"> </w:t>
      </w:r>
      <w:r w:rsidRPr="00621BD6">
        <w:rPr>
          <w:rFonts w:ascii="Arial" w:hAnsi="Arial" w:cs="Arial"/>
          <w:sz w:val="24"/>
          <w:szCs w:val="24"/>
        </w:rPr>
        <w:t>03.06.2014,</w:t>
      </w:r>
      <w:r>
        <w:rPr>
          <w:rFonts w:ascii="Arial" w:hAnsi="Arial" w:cs="Arial"/>
          <w:sz w:val="24"/>
          <w:szCs w:val="24"/>
        </w:rPr>
        <w:t xml:space="preserve"> </w:t>
      </w:r>
      <w:r w:rsidRPr="00621BD6">
        <w:rPr>
          <w:rFonts w:ascii="Arial" w:hAnsi="Arial" w:cs="Arial"/>
          <w:sz w:val="24"/>
          <w:szCs w:val="24"/>
        </w:rPr>
        <w:t>que</w:t>
      </w:r>
      <w:r>
        <w:rPr>
          <w:rFonts w:ascii="Arial" w:hAnsi="Arial" w:cs="Arial"/>
          <w:sz w:val="24"/>
          <w:szCs w:val="24"/>
        </w:rPr>
        <w:t xml:space="preserve"> </w:t>
      </w:r>
      <w:r w:rsidRPr="00621BD6">
        <w:rPr>
          <w:rFonts w:ascii="Arial" w:hAnsi="Arial" w:cs="Arial"/>
          <w:sz w:val="24"/>
          <w:szCs w:val="24"/>
        </w:rPr>
        <w:t>contiene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documentación</w:t>
      </w:r>
      <w:r>
        <w:rPr>
          <w:rFonts w:ascii="Arial" w:hAnsi="Arial" w:cs="Arial"/>
          <w:sz w:val="24"/>
          <w:szCs w:val="24"/>
        </w:rPr>
        <w:t xml:space="preserve"> </w:t>
      </w:r>
      <w:r w:rsidRPr="00621BD6">
        <w:rPr>
          <w:rFonts w:ascii="Arial" w:hAnsi="Arial" w:cs="Arial"/>
          <w:sz w:val="24"/>
          <w:szCs w:val="24"/>
        </w:rPr>
        <w:t>que</w:t>
      </w:r>
      <w:r>
        <w:rPr>
          <w:rFonts w:ascii="Arial" w:hAnsi="Arial" w:cs="Arial"/>
          <w:sz w:val="24"/>
          <w:szCs w:val="24"/>
        </w:rPr>
        <w:t xml:space="preserve"> </w:t>
      </w:r>
      <w:r w:rsidRPr="00621BD6">
        <w:rPr>
          <w:rFonts w:ascii="Arial" w:hAnsi="Arial" w:cs="Arial"/>
          <w:sz w:val="24"/>
          <w:szCs w:val="24"/>
        </w:rPr>
        <w:t>dio</w:t>
      </w:r>
      <w:r>
        <w:rPr>
          <w:rFonts w:ascii="Arial" w:hAnsi="Arial" w:cs="Arial"/>
          <w:sz w:val="24"/>
          <w:szCs w:val="24"/>
        </w:rPr>
        <w:t xml:space="preserve"> </w:t>
      </w:r>
      <w:r w:rsidRPr="00621BD6">
        <w:rPr>
          <w:rFonts w:ascii="Arial" w:hAnsi="Arial" w:cs="Arial"/>
          <w:sz w:val="24"/>
          <w:szCs w:val="24"/>
        </w:rPr>
        <w:t>mérito</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la anotación</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licencia</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habilitación</w:t>
      </w:r>
      <w:r>
        <w:rPr>
          <w:rFonts w:ascii="Arial" w:hAnsi="Arial" w:cs="Arial"/>
          <w:sz w:val="24"/>
          <w:szCs w:val="24"/>
        </w:rPr>
        <w:t xml:space="preserve"> </w:t>
      </w:r>
      <w:r w:rsidRPr="00621BD6">
        <w:rPr>
          <w:rFonts w:ascii="Arial" w:hAnsi="Arial" w:cs="Arial"/>
          <w:sz w:val="24"/>
          <w:szCs w:val="24"/>
        </w:rPr>
        <w:t>urbana</w:t>
      </w:r>
      <w:r>
        <w:rPr>
          <w:rFonts w:ascii="Arial" w:hAnsi="Arial" w:cs="Arial"/>
          <w:sz w:val="24"/>
          <w:szCs w:val="24"/>
        </w:rPr>
        <w:t xml:space="preserve"> </w:t>
      </w:r>
      <w:r w:rsidRPr="00621BD6">
        <w:rPr>
          <w:rFonts w:ascii="Arial" w:hAnsi="Arial" w:cs="Arial"/>
          <w:sz w:val="24"/>
          <w:szCs w:val="24"/>
        </w:rPr>
        <w:t>y</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consecuente preindependización de los lotes que la integran, se advierte la existencia de las siguientes resoluciones:</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w:t>
      </w:r>
      <w:r>
        <w:rPr>
          <w:rFonts w:ascii="Arial" w:hAnsi="Arial" w:cs="Arial"/>
          <w:sz w:val="24"/>
          <w:szCs w:val="24"/>
        </w:rPr>
        <w:t xml:space="preserve"> </w:t>
      </w:r>
      <w:r w:rsidRPr="00621BD6">
        <w:rPr>
          <w:rFonts w:ascii="Arial" w:hAnsi="Arial" w:cs="Arial"/>
          <w:b/>
          <w:bCs/>
          <w:sz w:val="24"/>
          <w:szCs w:val="24"/>
          <w:u w:val="thick"/>
        </w:rPr>
        <w:t>Resolución de Gerencia N.° 298-2012-GDUR/MDP del 05.10.2012</w:t>
      </w:r>
      <w:r w:rsidRPr="00621BD6">
        <w:rPr>
          <w:rFonts w:ascii="Arial" w:hAnsi="Arial" w:cs="Arial"/>
          <w:sz w:val="24"/>
          <w:szCs w:val="24"/>
        </w:rPr>
        <w:t>, mediante l</w:t>
      </w:r>
      <w:r w:rsidR="00627D7E" w:rsidRPr="00621BD6">
        <w:rPr>
          <w:rFonts w:ascii="Arial" w:hAnsi="Arial" w:cs="Arial"/>
          <w:sz w:val="24"/>
          <w:szCs w:val="24"/>
        </w:rPr>
        <w:t>a cual se declara procedente el pedido de</w:t>
      </w:r>
      <w:r w:rsidR="00627D7E">
        <w:rPr>
          <w:rFonts w:ascii="Arial" w:hAnsi="Arial" w:cs="Arial"/>
          <w:sz w:val="24"/>
          <w:szCs w:val="24"/>
        </w:rPr>
        <w:t xml:space="preserve"> </w:t>
      </w:r>
      <w:r w:rsidR="00627D7E" w:rsidRPr="00621BD6">
        <w:rPr>
          <w:rFonts w:ascii="Arial" w:hAnsi="Arial" w:cs="Arial"/>
          <w:sz w:val="24"/>
          <w:szCs w:val="24"/>
        </w:rPr>
        <w:t>aplicación del silencio administrativo positivo; y, e</w:t>
      </w:r>
      <w:r w:rsidRPr="00621BD6">
        <w:rPr>
          <w:rFonts w:ascii="Arial" w:hAnsi="Arial" w:cs="Arial"/>
          <w:sz w:val="24"/>
          <w:szCs w:val="24"/>
        </w:rPr>
        <w:t>n consecuencia, se</w:t>
      </w:r>
      <w:r>
        <w:rPr>
          <w:rFonts w:ascii="Arial" w:hAnsi="Arial" w:cs="Arial"/>
          <w:sz w:val="24"/>
          <w:szCs w:val="24"/>
        </w:rPr>
        <w:t xml:space="preserve"> </w:t>
      </w:r>
      <w:r w:rsidRPr="00621BD6">
        <w:rPr>
          <w:rFonts w:ascii="Arial" w:hAnsi="Arial" w:cs="Arial"/>
          <w:sz w:val="24"/>
          <w:szCs w:val="24"/>
        </w:rPr>
        <w:t>aprueba la habilitación urbana para fines residenciales, establecie</w:t>
      </w:r>
      <w:r w:rsidR="00627D7E" w:rsidRPr="00621BD6">
        <w:rPr>
          <w:rFonts w:ascii="Arial" w:hAnsi="Arial" w:cs="Arial"/>
          <w:sz w:val="24"/>
          <w:szCs w:val="24"/>
        </w:rPr>
        <w:t>ndo el plazo de vigencia</w:t>
      </w:r>
      <w:r w:rsidR="00627D7E">
        <w:rPr>
          <w:rFonts w:ascii="Arial" w:hAnsi="Arial" w:cs="Arial"/>
          <w:sz w:val="24"/>
          <w:szCs w:val="24"/>
        </w:rPr>
        <w:t xml:space="preserve"> </w:t>
      </w:r>
      <w:r w:rsidR="00627D7E" w:rsidRPr="00621BD6">
        <w:rPr>
          <w:rFonts w:ascii="Arial" w:hAnsi="Arial" w:cs="Arial"/>
          <w:sz w:val="24"/>
          <w:szCs w:val="24"/>
        </w:rPr>
        <w:t>de</w:t>
      </w:r>
      <w:r w:rsidR="00627D7E">
        <w:rPr>
          <w:rFonts w:ascii="Arial" w:hAnsi="Arial" w:cs="Arial"/>
          <w:sz w:val="24"/>
          <w:szCs w:val="24"/>
        </w:rPr>
        <w:t xml:space="preserve"> </w:t>
      </w:r>
      <w:r w:rsidR="00627D7E" w:rsidRPr="00621BD6">
        <w:rPr>
          <w:rFonts w:ascii="Arial" w:hAnsi="Arial" w:cs="Arial"/>
          <w:sz w:val="24"/>
          <w:szCs w:val="24"/>
        </w:rPr>
        <w:t>la</w:t>
      </w:r>
      <w:r w:rsidR="00627D7E">
        <w:rPr>
          <w:rFonts w:ascii="Arial" w:hAnsi="Arial" w:cs="Arial"/>
          <w:sz w:val="24"/>
          <w:szCs w:val="24"/>
        </w:rPr>
        <w:t xml:space="preserve"> </w:t>
      </w:r>
      <w:r w:rsidR="00627D7E" w:rsidRPr="00621BD6">
        <w:rPr>
          <w:rFonts w:ascii="Arial" w:hAnsi="Arial" w:cs="Arial"/>
          <w:sz w:val="24"/>
          <w:szCs w:val="24"/>
        </w:rPr>
        <w:t>licencia</w:t>
      </w:r>
      <w:r w:rsidR="00627D7E">
        <w:rPr>
          <w:rFonts w:ascii="Arial" w:hAnsi="Arial" w:cs="Arial"/>
          <w:sz w:val="24"/>
          <w:szCs w:val="24"/>
        </w:rPr>
        <w:t xml:space="preserve"> </w:t>
      </w:r>
      <w:r w:rsidR="00627D7E" w:rsidRPr="00621BD6">
        <w:rPr>
          <w:rFonts w:ascii="Arial" w:hAnsi="Arial" w:cs="Arial"/>
          <w:sz w:val="24"/>
          <w:szCs w:val="24"/>
        </w:rPr>
        <w:t>de</w:t>
      </w:r>
      <w:r w:rsidR="00627D7E">
        <w:rPr>
          <w:rFonts w:ascii="Arial" w:hAnsi="Arial" w:cs="Arial"/>
          <w:sz w:val="24"/>
          <w:szCs w:val="24"/>
        </w:rPr>
        <w:t xml:space="preserve"> </w:t>
      </w:r>
      <w:r w:rsidR="00627D7E" w:rsidRPr="00621BD6">
        <w:rPr>
          <w:rFonts w:ascii="Arial" w:hAnsi="Arial" w:cs="Arial"/>
          <w:sz w:val="24"/>
          <w:szCs w:val="24"/>
        </w:rPr>
        <w:t>habilitación</w:t>
      </w:r>
      <w:r w:rsidR="00627D7E">
        <w:rPr>
          <w:rFonts w:ascii="Arial" w:hAnsi="Arial" w:cs="Arial"/>
          <w:sz w:val="24"/>
          <w:szCs w:val="24"/>
        </w:rPr>
        <w:t xml:space="preserve"> </w:t>
      </w:r>
      <w:r w:rsidR="00627D7E" w:rsidRPr="00621BD6">
        <w:rPr>
          <w:rFonts w:ascii="Arial" w:hAnsi="Arial" w:cs="Arial"/>
          <w:sz w:val="24"/>
          <w:szCs w:val="24"/>
        </w:rPr>
        <w:t>urbana</w:t>
      </w:r>
      <w:r w:rsidR="00627D7E">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36</w:t>
      </w:r>
      <w:r>
        <w:rPr>
          <w:rFonts w:ascii="Arial" w:hAnsi="Arial" w:cs="Arial"/>
          <w:sz w:val="24"/>
          <w:szCs w:val="24"/>
        </w:rPr>
        <w:t xml:space="preserve"> </w:t>
      </w:r>
      <w:r w:rsidRPr="00621BD6">
        <w:rPr>
          <w:rFonts w:ascii="Arial" w:hAnsi="Arial" w:cs="Arial"/>
          <w:sz w:val="24"/>
          <w:szCs w:val="24"/>
        </w:rPr>
        <w:t xml:space="preserve">meses; autorizando a la Compañía Inmobiliaria Constructora y de Transportes </w:t>
      </w:r>
      <w:r w:rsidR="00627D7E">
        <w:rPr>
          <w:rFonts w:ascii="Arial" w:hAnsi="Arial" w:cs="Arial"/>
          <w:sz w:val="24"/>
          <w:szCs w:val="24"/>
        </w:rPr>
        <w:t>"</w:t>
      </w:r>
      <w:r w:rsidRPr="00621BD6">
        <w:rPr>
          <w:rFonts w:ascii="Arial" w:hAnsi="Arial" w:cs="Arial"/>
          <w:sz w:val="24"/>
          <w:szCs w:val="24"/>
        </w:rPr>
        <w:t>Estrella Andina S.A.</w:t>
      </w:r>
      <w:r w:rsidR="00627D7E">
        <w:rPr>
          <w:rFonts w:ascii="Arial" w:hAnsi="Arial" w:cs="Arial"/>
          <w:sz w:val="24"/>
          <w:szCs w:val="24"/>
        </w:rPr>
        <w:t>"</w:t>
      </w:r>
      <w:r w:rsidRPr="00621BD6">
        <w:rPr>
          <w:rFonts w:ascii="Arial" w:hAnsi="Arial" w:cs="Arial"/>
          <w:sz w:val="24"/>
          <w:szCs w:val="24"/>
        </w:rPr>
        <w:t xml:space="preserve"> </w:t>
      </w:r>
      <w:r>
        <w:rPr>
          <w:rFonts w:ascii="Arial" w:hAnsi="Arial" w:cs="Arial"/>
          <w:sz w:val="24"/>
          <w:szCs w:val="24"/>
        </w:rPr>
        <w:t>-</w:t>
      </w:r>
      <w:r w:rsidRPr="00621BD6">
        <w:rPr>
          <w:rFonts w:ascii="Arial" w:hAnsi="Arial" w:cs="Arial"/>
          <w:sz w:val="24"/>
          <w:szCs w:val="24"/>
        </w:rPr>
        <w:t xml:space="preserve"> </w:t>
      </w:r>
      <w:r w:rsidR="00627D7E" w:rsidRPr="00621BD6">
        <w:rPr>
          <w:rFonts w:ascii="Arial" w:hAnsi="Arial" w:cs="Arial"/>
          <w:sz w:val="24"/>
          <w:szCs w:val="24"/>
        </w:rPr>
        <w:t>Cicontesa</w:t>
      </w:r>
      <w:r w:rsidRPr="00621BD6">
        <w:rPr>
          <w:rFonts w:ascii="Arial" w:hAnsi="Arial" w:cs="Arial"/>
          <w:sz w:val="24"/>
          <w:szCs w:val="24"/>
        </w:rPr>
        <w:t>, a celebrar contratos de venta garantizada, respecto a los lotes que constituyen el área</w:t>
      </w:r>
      <w:r>
        <w:rPr>
          <w:rFonts w:ascii="Arial" w:hAnsi="Arial" w:cs="Arial"/>
          <w:sz w:val="24"/>
          <w:szCs w:val="24"/>
        </w:rPr>
        <w:t xml:space="preserve"> </w:t>
      </w:r>
      <w:r w:rsidRPr="00621BD6">
        <w:rPr>
          <w:rFonts w:ascii="Arial" w:hAnsi="Arial" w:cs="Arial"/>
          <w:sz w:val="24"/>
          <w:szCs w:val="24"/>
        </w:rPr>
        <w:t>útil</w:t>
      </w:r>
      <w:r>
        <w:rPr>
          <w:rFonts w:ascii="Arial" w:hAnsi="Arial" w:cs="Arial"/>
          <w:sz w:val="24"/>
          <w:szCs w:val="24"/>
        </w:rPr>
        <w:t xml:space="preserve"> </w:t>
      </w:r>
      <w:r w:rsidRPr="00621BD6">
        <w:rPr>
          <w:rFonts w:ascii="Arial" w:hAnsi="Arial" w:cs="Arial"/>
          <w:sz w:val="24"/>
          <w:szCs w:val="24"/>
        </w:rPr>
        <w:t>d</w:t>
      </w:r>
      <w:r w:rsidR="00627D7E" w:rsidRPr="00621BD6">
        <w:rPr>
          <w:rFonts w:ascii="Arial" w:hAnsi="Arial" w:cs="Arial"/>
          <w:sz w:val="24"/>
          <w:szCs w:val="24"/>
        </w:rPr>
        <w:t>e la habilitación urbana; y,</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w:t>
      </w:r>
      <w:r>
        <w:rPr>
          <w:rFonts w:ascii="Arial" w:hAnsi="Arial" w:cs="Arial"/>
          <w:sz w:val="24"/>
          <w:szCs w:val="24"/>
        </w:rPr>
        <w:t xml:space="preserve"> </w:t>
      </w:r>
      <w:r w:rsidRPr="00621BD6">
        <w:rPr>
          <w:rFonts w:ascii="Arial" w:hAnsi="Arial" w:cs="Arial"/>
          <w:b/>
          <w:bCs/>
          <w:sz w:val="24"/>
          <w:szCs w:val="24"/>
          <w:u w:val="thick"/>
        </w:rPr>
        <w:t>Resolución de Gerencia N° 136-2014-MDP-GDUR del 22.05.2014</w:t>
      </w:r>
      <w:r w:rsidRPr="00621BD6">
        <w:rPr>
          <w:rFonts w:ascii="Arial" w:hAnsi="Arial" w:cs="Arial"/>
          <w:sz w:val="24"/>
          <w:szCs w:val="24"/>
        </w:rPr>
        <w:t>,</w:t>
      </w:r>
      <w:r w:rsidR="00627D7E">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cual</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resuelve</w:t>
      </w:r>
      <w:r>
        <w:rPr>
          <w:rFonts w:ascii="Arial" w:hAnsi="Arial" w:cs="Arial"/>
          <w:sz w:val="24"/>
          <w:szCs w:val="24"/>
        </w:rPr>
        <w:t xml:space="preserve"> </w:t>
      </w:r>
      <w:r w:rsidRPr="00621BD6">
        <w:rPr>
          <w:rFonts w:ascii="Arial" w:hAnsi="Arial" w:cs="Arial"/>
          <w:sz w:val="24"/>
          <w:szCs w:val="24"/>
        </w:rPr>
        <w:t>corregir</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error</w:t>
      </w:r>
      <w:r>
        <w:rPr>
          <w:rFonts w:ascii="Arial" w:hAnsi="Arial" w:cs="Arial"/>
          <w:sz w:val="24"/>
          <w:szCs w:val="24"/>
        </w:rPr>
        <w:t xml:space="preserve"> </w:t>
      </w:r>
      <w:r w:rsidRPr="00621BD6">
        <w:rPr>
          <w:rFonts w:ascii="Arial" w:hAnsi="Arial" w:cs="Arial"/>
          <w:sz w:val="24"/>
          <w:szCs w:val="24"/>
        </w:rPr>
        <w:t>material</w:t>
      </w:r>
      <w:r>
        <w:rPr>
          <w:rFonts w:ascii="Arial" w:hAnsi="Arial" w:cs="Arial"/>
          <w:sz w:val="24"/>
          <w:szCs w:val="24"/>
        </w:rPr>
        <w:t xml:space="preserve"> </w:t>
      </w:r>
      <w:r w:rsidRPr="00621BD6">
        <w:rPr>
          <w:rFonts w:ascii="Arial" w:hAnsi="Arial" w:cs="Arial"/>
          <w:sz w:val="24"/>
          <w:szCs w:val="24"/>
        </w:rPr>
        <w:t>incurrido</w:t>
      </w:r>
      <w:r>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la</w:t>
      </w:r>
      <w:r w:rsidR="00627D7E">
        <w:rPr>
          <w:rFonts w:ascii="Arial" w:hAnsi="Arial" w:cs="Arial"/>
          <w:sz w:val="24"/>
          <w:szCs w:val="24"/>
        </w:rPr>
        <w:t xml:space="preserve"> </w:t>
      </w:r>
      <w:r w:rsidRPr="00621BD6">
        <w:rPr>
          <w:rFonts w:ascii="Arial" w:hAnsi="Arial" w:cs="Arial"/>
          <w:sz w:val="24"/>
          <w:szCs w:val="24"/>
        </w:rPr>
        <w:t>Resolución</w:t>
      </w:r>
      <w:r>
        <w:rPr>
          <w:rFonts w:ascii="Arial" w:hAnsi="Arial" w:cs="Arial"/>
          <w:sz w:val="24"/>
          <w:szCs w:val="24"/>
        </w:rPr>
        <w:t xml:space="preserve"> </w:t>
      </w:r>
      <w:r w:rsidRPr="00621BD6">
        <w:rPr>
          <w:rFonts w:ascii="Arial" w:hAnsi="Arial" w:cs="Arial"/>
          <w:sz w:val="24"/>
          <w:szCs w:val="24"/>
        </w:rPr>
        <w:t>Gerencial</w:t>
      </w:r>
      <w:r>
        <w:rPr>
          <w:rFonts w:ascii="Arial" w:hAnsi="Arial" w:cs="Arial"/>
          <w:sz w:val="24"/>
          <w:szCs w:val="24"/>
        </w:rPr>
        <w:t xml:space="preserve"> </w:t>
      </w:r>
      <w:r w:rsidRPr="00621BD6">
        <w:rPr>
          <w:rFonts w:ascii="Arial" w:hAnsi="Arial" w:cs="Arial"/>
          <w:sz w:val="24"/>
          <w:szCs w:val="24"/>
        </w:rPr>
        <w:t>N</w:t>
      </w:r>
      <w:r w:rsidR="00627D7E">
        <w:rPr>
          <w:rFonts w:ascii="Arial" w:hAnsi="Arial" w:cs="Arial"/>
          <w:sz w:val="24"/>
          <w:szCs w:val="24"/>
        </w:rPr>
        <w:t>.</w:t>
      </w:r>
      <w:r w:rsidRPr="00621BD6">
        <w:rPr>
          <w:rFonts w:ascii="Arial" w:hAnsi="Arial" w:cs="Arial"/>
          <w:sz w:val="24"/>
          <w:szCs w:val="24"/>
        </w:rPr>
        <w:t>°</w:t>
      </w:r>
      <w:r>
        <w:rPr>
          <w:rFonts w:ascii="Arial" w:hAnsi="Arial" w:cs="Arial"/>
          <w:sz w:val="24"/>
          <w:szCs w:val="24"/>
        </w:rPr>
        <w:t xml:space="preserve"> </w:t>
      </w:r>
      <w:r w:rsidRPr="00621BD6">
        <w:rPr>
          <w:rFonts w:ascii="Arial" w:hAnsi="Arial" w:cs="Arial"/>
          <w:sz w:val="24"/>
          <w:szCs w:val="24"/>
        </w:rPr>
        <w:t>298-2012-MDP/GDUR-SGOPHU</w:t>
      </w:r>
      <w:r>
        <w:rPr>
          <w:rFonts w:ascii="Arial" w:hAnsi="Arial" w:cs="Arial"/>
          <w:sz w:val="24"/>
          <w:szCs w:val="24"/>
        </w:rPr>
        <w:t xml:space="preserve"> </w:t>
      </w:r>
      <w:r w:rsidRPr="00621BD6">
        <w:rPr>
          <w:rFonts w:ascii="Arial" w:hAnsi="Arial" w:cs="Arial"/>
          <w:sz w:val="24"/>
          <w:szCs w:val="24"/>
        </w:rPr>
        <w:t>del</w:t>
      </w:r>
      <w:r w:rsidR="00627D7E">
        <w:rPr>
          <w:rFonts w:ascii="Arial" w:hAnsi="Arial" w:cs="Arial"/>
          <w:sz w:val="24"/>
          <w:szCs w:val="24"/>
        </w:rPr>
        <w:t xml:space="preserve"> </w:t>
      </w:r>
      <w:r w:rsidRPr="00621BD6">
        <w:rPr>
          <w:rFonts w:ascii="Arial" w:hAnsi="Arial" w:cs="Arial"/>
          <w:sz w:val="24"/>
          <w:szCs w:val="24"/>
        </w:rPr>
        <w:t>05.10.2012, en el siguiente extremo: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Courier New"/>
          <w:sz w:val="24"/>
          <w:szCs w:val="24"/>
        </w:rPr>
        <w:t>o</w:t>
      </w:r>
      <w:r>
        <w:rPr>
          <w:rFonts w:ascii="Arial" w:hAnsi="Arial" w:cs="Courier New"/>
          <w:sz w:val="24"/>
          <w:szCs w:val="24"/>
        </w:rPr>
        <w:t xml:space="preserve"> </w:t>
      </w:r>
      <w:r w:rsidRPr="00621BD6">
        <w:rPr>
          <w:rFonts w:ascii="Arial" w:hAnsi="Arial" w:cs="Arial"/>
          <w:b/>
          <w:bCs/>
          <w:sz w:val="24"/>
          <w:szCs w:val="24"/>
          <w:u w:val="thick"/>
        </w:rPr>
        <w:t>Dice:</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F</w:t>
      </w:r>
      <w:r w:rsidR="00627D7E" w:rsidRPr="00621BD6">
        <w:rPr>
          <w:rFonts w:ascii="Arial" w:hAnsi="Arial" w:cs="Arial"/>
          <w:sz w:val="24"/>
          <w:szCs w:val="24"/>
        </w:rPr>
        <w:t>echa de vencimiento</w:t>
      </w:r>
      <w:r w:rsidR="00627D7E">
        <w:rPr>
          <w:rFonts w:ascii="Arial" w:hAnsi="Arial" w:cs="Arial"/>
          <w:sz w:val="24"/>
          <w:szCs w:val="24"/>
        </w:rPr>
        <w:t xml:space="preserve"> </w:t>
      </w:r>
      <w:r w:rsidR="00627D7E" w:rsidRPr="00621BD6">
        <w:rPr>
          <w:rFonts w:ascii="Arial" w:hAnsi="Arial" w:cs="Arial"/>
          <w:sz w:val="24"/>
          <w:szCs w:val="24"/>
        </w:rPr>
        <w:t xml:space="preserve">05 de octubre del </w:t>
      </w:r>
      <w:r w:rsidRPr="00621BD6">
        <w:rPr>
          <w:rFonts w:ascii="Arial" w:hAnsi="Arial" w:cs="Arial"/>
          <w:sz w:val="24"/>
          <w:szCs w:val="24"/>
        </w:rPr>
        <w:t>2015</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Courier New"/>
          <w:sz w:val="24"/>
          <w:szCs w:val="24"/>
        </w:rPr>
        <w:t>o</w:t>
      </w:r>
      <w:r>
        <w:rPr>
          <w:rFonts w:ascii="Arial" w:hAnsi="Arial" w:cs="Courier New"/>
          <w:sz w:val="24"/>
          <w:szCs w:val="24"/>
        </w:rPr>
        <w:t xml:space="preserve"> </w:t>
      </w:r>
      <w:r w:rsidRPr="00621BD6">
        <w:rPr>
          <w:rFonts w:ascii="Arial" w:hAnsi="Arial" w:cs="Arial"/>
          <w:b/>
          <w:bCs/>
          <w:sz w:val="24"/>
          <w:szCs w:val="24"/>
          <w:u w:val="thick"/>
        </w:rPr>
        <w:t>Debe decir:</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lastRenderedPageBreak/>
        <w:t>F</w:t>
      </w:r>
      <w:r w:rsidR="00627D7E" w:rsidRPr="00621BD6">
        <w:rPr>
          <w:rFonts w:ascii="Arial" w:hAnsi="Arial" w:cs="Arial"/>
          <w:sz w:val="24"/>
          <w:szCs w:val="24"/>
        </w:rPr>
        <w:t>echa de vencimiento</w:t>
      </w:r>
      <w:r w:rsidR="00627D7E">
        <w:rPr>
          <w:rFonts w:ascii="Arial" w:hAnsi="Arial" w:cs="Arial"/>
          <w:sz w:val="24"/>
          <w:szCs w:val="24"/>
        </w:rPr>
        <w:t xml:space="preserve"> </w:t>
      </w:r>
      <w:r w:rsidR="00627D7E" w:rsidRPr="00621BD6">
        <w:rPr>
          <w:rFonts w:ascii="Arial" w:hAnsi="Arial" w:cs="Arial"/>
          <w:sz w:val="24"/>
          <w:szCs w:val="24"/>
        </w:rPr>
        <w:t xml:space="preserve">12 de marzo del </w:t>
      </w:r>
      <w:r w:rsidRPr="00621BD6">
        <w:rPr>
          <w:rFonts w:ascii="Arial" w:hAnsi="Arial" w:cs="Arial"/>
          <w:sz w:val="24"/>
          <w:szCs w:val="24"/>
        </w:rPr>
        <w:t>2015</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Es decir, del propio contenido de la resolución emitida por la Municipalidad</w:t>
      </w:r>
      <w:r w:rsidR="00627D7E">
        <w:rPr>
          <w:rFonts w:ascii="Arial" w:hAnsi="Arial" w:cs="Arial"/>
          <w:sz w:val="24"/>
          <w:szCs w:val="24"/>
        </w:rPr>
        <w:t xml:space="preserve"> </w:t>
      </w:r>
      <w:r w:rsidRPr="00621BD6">
        <w:rPr>
          <w:rFonts w:ascii="Arial" w:hAnsi="Arial" w:cs="Arial"/>
          <w:sz w:val="24"/>
          <w:szCs w:val="24"/>
        </w:rPr>
        <w:t>Distrital de Pachacamac, que aprobó otorgar la licencia de habilitación</w:t>
      </w:r>
      <w:r w:rsidR="00627D7E">
        <w:rPr>
          <w:rFonts w:ascii="Arial" w:hAnsi="Arial" w:cs="Arial"/>
          <w:sz w:val="24"/>
          <w:szCs w:val="24"/>
        </w:rPr>
        <w:t xml:space="preserve"> </w:t>
      </w:r>
      <w:r w:rsidRPr="00621BD6">
        <w:rPr>
          <w:rFonts w:ascii="Arial" w:hAnsi="Arial" w:cs="Arial"/>
          <w:sz w:val="24"/>
          <w:szCs w:val="24"/>
        </w:rPr>
        <w:t xml:space="preserve">urbana </w:t>
      </w:r>
      <w:r w:rsidR="00627D7E" w:rsidRPr="00621BD6">
        <w:rPr>
          <w:rFonts w:ascii="Arial" w:hAnsi="Arial" w:cs="Arial"/>
          <w:sz w:val="24"/>
          <w:szCs w:val="24"/>
        </w:rPr>
        <w:t>por haber operado el silencio administrativo positivo, se fijó como</w:t>
      </w:r>
      <w:r w:rsidR="00627D7E">
        <w:rPr>
          <w:rFonts w:ascii="Arial" w:hAnsi="Arial" w:cs="Arial"/>
          <w:sz w:val="24"/>
          <w:szCs w:val="24"/>
        </w:rPr>
        <w:t xml:space="preserve"> </w:t>
      </w:r>
      <w:r w:rsidRPr="00621BD6">
        <w:rPr>
          <w:rFonts w:ascii="Arial" w:hAnsi="Arial" w:cs="Arial"/>
          <w:sz w:val="24"/>
          <w:szCs w:val="24"/>
        </w:rPr>
        <w:t>fecha de vencimiento de la misma el</w:t>
      </w:r>
      <w:r>
        <w:rPr>
          <w:rFonts w:ascii="Arial" w:hAnsi="Arial" w:cs="Arial"/>
          <w:sz w:val="24"/>
          <w:szCs w:val="24"/>
        </w:rPr>
        <w:t xml:space="preserve"> </w:t>
      </w:r>
      <w:r w:rsidRPr="00621BD6">
        <w:rPr>
          <w:rFonts w:ascii="Arial" w:hAnsi="Arial" w:cs="Arial"/>
          <w:b/>
          <w:bCs/>
          <w:sz w:val="24"/>
          <w:szCs w:val="24"/>
          <w:u w:val="thick"/>
        </w:rPr>
        <w:t>12.03.2015</w:t>
      </w:r>
      <w:r w:rsidRPr="00621BD6">
        <w:rPr>
          <w:rFonts w:ascii="Arial" w:hAnsi="Arial" w:cs="Arial"/>
          <w:sz w:val="24"/>
          <w:szCs w:val="24"/>
        </w:rPr>
        <w:t>, en aplicación de lo</w:t>
      </w:r>
      <w:r w:rsidR="00627D7E">
        <w:rPr>
          <w:rFonts w:ascii="Arial" w:hAnsi="Arial" w:cs="Arial"/>
          <w:sz w:val="24"/>
          <w:szCs w:val="24"/>
        </w:rPr>
        <w:t xml:space="preserve"> </w:t>
      </w:r>
      <w:r w:rsidRPr="00621BD6">
        <w:rPr>
          <w:rFonts w:ascii="Arial" w:hAnsi="Arial" w:cs="Arial"/>
          <w:sz w:val="24"/>
          <w:szCs w:val="24"/>
        </w:rPr>
        <w:t>establecido en el artículo 11 de la Ley N.° 29090, vigente a la fecha de otorgamiento del acto administrativo.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En ese sentido, no quedan dudas que el plazo de vigencia de la licencia de habilitación urbana ha caducado desde la fecha aludida en el párrafo</w:t>
      </w:r>
      <w:r w:rsidR="00627D7E">
        <w:rPr>
          <w:rFonts w:ascii="Arial" w:hAnsi="Arial" w:cs="Arial"/>
          <w:sz w:val="24"/>
          <w:szCs w:val="24"/>
        </w:rPr>
        <w:t xml:space="preserve"> </w:t>
      </w:r>
      <w:r w:rsidRPr="00621BD6">
        <w:rPr>
          <w:rFonts w:ascii="Arial" w:hAnsi="Arial" w:cs="Arial"/>
          <w:sz w:val="24"/>
          <w:szCs w:val="24"/>
        </w:rPr>
        <w:t>anterior.</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 xml:space="preserve">10. </w:t>
      </w:r>
      <w:r w:rsidRPr="00621BD6">
        <w:rPr>
          <w:rFonts w:ascii="Arial" w:hAnsi="Arial" w:cs="Arial"/>
          <w:sz w:val="24"/>
          <w:szCs w:val="24"/>
        </w:rPr>
        <w:t>Ahora bien, respecto a la vigencia de la mencionada anotación preventiva</w:t>
      </w:r>
      <w:r w:rsidR="00627D7E">
        <w:rPr>
          <w:rFonts w:ascii="Arial" w:hAnsi="Arial" w:cs="Arial"/>
          <w:sz w:val="24"/>
          <w:szCs w:val="24"/>
        </w:rPr>
        <w:t xml:space="preserve"> </w:t>
      </w:r>
      <w:r w:rsidRPr="00621BD6">
        <w:rPr>
          <w:rFonts w:ascii="Arial" w:hAnsi="Arial" w:cs="Arial"/>
          <w:sz w:val="24"/>
          <w:szCs w:val="24"/>
        </w:rPr>
        <w:t>del proyecto de habilitación urbana, el artículo 37 del Reglamento de Inscripciones del Registro de Predios (RIRP) establece que el asiento de anotación preventiva caducará de pleno derecho al vencimiento del plazo de vigencia de la licencia de habilitación computado conforme a lo previsto en el artículo 11 de la Ley N</w:t>
      </w:r>
      <w:r w:rsidR="00627D7E">
        <w:rPr>
          <w:rFonts w:ascii="Arial" w:hAnsi="Arial" w:cs="Arial"/>
          <w:sz w:val="24"/>
          <w:szCs w:val="24"/>
        </w:rPr>
        <w:t>.°</w:t>
      </w:r>
      <w:r w:rsidRPr="00621BD6">
        <w:rPr>
          <w:rFonts w:ascii="Arial" w:hAnsi="Arial" w:cs="Arial"/>
          <w:sz w:val="24"/>
          <w:szCs w:val="24"/>
        </w:rPr>
        <w:t xml:space="preserve"> 29090.</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 xml:space="preserve">Del mismo modo, el último párrafo del artículo 38 del RIRP establece que </w:t>
      </w:r>
      <w:r w:rsidR="00627D7E">
        <w:rPr>
          <w:rFonts w:ascii="Arial" w:hAnsi="Arial" w:cs="Arial"/>
          <w:sz w:val="24"/>
          <w:szCs w:val="24"/>
        </w:rPr>
        <w:t>"</w:t>
      </w:r>
      <w:r w:rsidRPr="00621BD6">
        <w:rPr>
          <w:rFonts w:ascii="Arial" w:hAnsi="Arial" w:cs="Arial"/>
          <w:sz w:val="24"/>
          <w:szCs w:val="24"/>
        </w:rPr>
        <w:t>(</w:t>
      </w:r>
      <w:r w:rsidR="00627D7E">
        <w:rPr>
          <w:rFonts w:ascii="Arial" w:hAnsi="Arial" w:cs="Arial"/>
          <w:sz w:val="24"/>
          <w:szCs w:val="24"/>
        </w:rPr>
        <w:t>...</w:t>
      </w:r>
      <w:r w:rsidRPr="00621BD6">
        <w:rPr>
          <w:rFonts w:ascii="Arial" w:hAnsi="Arial" w:cs="Arial"/>
          <w:sz w:val="24"/>
          <w:szCs w:val="24"/>
        </w:rPr>
        <w:t>)</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partidas</w:t>
      </w:r>
      <w:r>
        <w:rPr>
          <w:rFonts w:ascii="Arial" w:hAnsi="Arial" w:cs="Arial"/>
          <w:sz w:val="24"/>
          <w:szCs w:val="24"/>
        </w:rPr>
        <w:t xml:space="preserve"> </w:t>
      </w:r>
      <w:r w:rsidRPr="00621BD6">
        <w:rPr>
          <w:rFonts w:ascii="Arial" w:hAnsi="Arial" w:cs="Arial"/>
          <w:sz w:val="24"/>
          <w:szCs w:val="24"/>
        </w:rPr>
        <w:t>preindependizadas</w:t>
      </w:r>
      <w:r>
        <w:rPr>
          <w:rFonts w:ascii="Arial" w:hAnsi="Arial" w:cs="Arial"/>
          <w:sz w:val="24"/>
          <w:szCs w:val="24"/>
        </w:rPr>
        <w:t xml:space="preserve"> </w:t>
      </w:r>
      <w:r w:rsidRPr="00621BD6">
        <w:rPr>
          <w:rFonts w:ascii="Arial" w:hAnsi="Arial" w:cs="Arial"/>
          <w:sz w:val="24"/>
          <w:szCs w:val="24"/>
        </w:rPr>
        <w:t>y</w:t>
      </w:r>
      <w:r>
        <w:rPr>
          <w:rFonts w:ascii="Arial" w:hAnsi="Arial" w:cs="Arial"/>
          <w:sz w:val="24"/>
          <w:szCs w:val="24"/>
        </w:rPr>
        <w:t xml:space="preserve"> </w:t>
      </w:r>
      <w:r w:rsidRPr="00621BD6">
        <w:rPr>
          <w:rFonts w:ascii="Arial" w:hAnsi="Arial" w:cs="Arial"/>
          <w:sz w:val="24"/>
          <w:szCs w:val="24"/>
        </w:rPr>
        <w:t>las</w:t>
      </w:r>
      <w:r>
        <w:rPr>
          <w:rFonts w:ascii="Arial" w:hAnsi="Arial" w:cs="Arial"/>
          <w:sz w:val="24"/>
          <w:szCs w:val="24"/>
        </w:rPr>
        <w:t xml:space="preserve"> </w:t>
      </w:r>
      <w:r w:rsidRPr="00621BD6">
        <w:rPr>
          <w:rFonts w:ascii="Arial" w:hAnsi="Arial" w:cs="Arial"/>
          <w:sz w:val="24"/>
          <w:szCs w:val="24"/>
        </w:rPr>
        <w:t>anotaciones</w:t>
      </w:r>
      <w:r>
        <w:rPr>
          <w:rFonts w:ascii="Arial" w:hAnsi="Arial" w:cs="Arial"/>
          <w:sz w:val="24"/>
          <w:szCs w:val="24"/>
        </w:rPr>
        <w:t xml:space="preserve"> </w:t>
      </w:r>
      <w:r w:rsidRPr="00621BD6">
        <w:rPr>
          <w:rFonts w:ascii="Arial" w:hAnsi="Arial" w:cs="Arial"/>
          <w:sz w:val="24"/>
          <w:szCs w:val="24"/>
        </w:rPr>
        <w:t>preventivas extendidas</w:t>
      </w:r>
      <w:r>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ellas</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mantendrán</w:t>
      </w:r>
      <w:r>
        <w:rPr>
          <w:rFonts w:ascii="Arial" w:hAnsi="Arial" w:cs="Arial"/>
          <w:sz w:val="24"/>
          <w:szCs w:val="24"/>
        </w:rPr>
        <w:t xml:space="preserve"> </w:t>
      </w:r>
      <w:r w:rsidRPr="00621BD6">
        <w:rPr>
          <w:rFonts w:ascii="Arial" w:hAnsi="Arial" w:cs="Arial"/>
          <w:sz w:val="24"/>
          <w:szCs w:val="24"/>
        </w:rPr>
        <w:t>vigentes</w:t>
      </w:r>
      <w:r>
        <w:rPr>
          <w:rFonts w:ascii="Arial" w:hAnsi="Arial" w:cs="Arial"/>
          <w:sz w:val="24"/>
          <w:szCs w:val="24"/>
        </w:rPr>
        <w:t xml:space="preserve"> </w:t>
      </w:r>
      <w:r w:rsidRPr="00621BD6">
        <w:rPr>
          <w:rFonts w:ascii="Arial" w:hAnsi="Arial" w:cs="Arial"/>
          <w:sz w:val="24"/>
          <w:szCs w:val="24"/>
        </w:rPr>
        <w:t>hasta</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caducidad</w:t>
      </w:r>
      <w:r>
        <w:rPr>
          <w:rFonts w:ascii="Arial" w:hAnsi="Arial" w:cs="Arial"/>
          <w:sz w:val="24"/>
          <w:szCs w:val="24"/>
        </w:rPr>
        <w:t xml:space="preserve"> </w:t>
      </w:r>
      <w:r w:rsidRPr="00621BD6">
        <w:rPr>
          <w:rFonts w:ascii="Arial" w:hAnsi="Arial" w:cs="Arial"/>
          <w:sz w:val="24"/>
          <w:szCs w:val="24"/>
        </w:rPr>
        <w:t>del asiento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anotación</w:t>
      </w:r>
      <w:r>
        <w:rPr>
          <w:rFonts w:ascii="Arial" w:hAnsi="Arial" w:cs="Arial"/>
          <w:sz w:val="24"/>
          <w:szCs w:val="24"/>
        </w:rPr>
        <w:t xml:space="preserve"> </w:t>
      </w:r>
      <w:r w:rsidRPr="00621BD6">
        <w:rPr>
          <w:rFonts w:ascii="Arial" w:hAnsi="Arial" w:cs="Arial"/>
          <w:sz w:val="24"/>
          <w:szCs w:val="24"/>
        </w:rPr>
        <w:t>preventiva</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proyecto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habilitación</w:t>
      </w:r>
      <w:r>
        <w:rPr>
          <w:rFonts w:ascii="Arial" w:hAnsi="Arial" w:cs="Arial"/>
          <w:sz w:val="24"/>
          <w:szCs w:val="24"/>
        </w:rPr>
        <w:t xml:space="preserve"> </w:t>
      </w:r>
      <w:r w:rsidRPr="00621BD6">
        <w:rPr>
          <w:rFonts w:ascii="Arial" w:hAnsi="Arial" w:cs="Arial"/>
          <w:sz w:val="24"/>
          <w:szCs w:val="24"/>
        </w:rPr>
        <w:t>urbana.</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Producida la caducidad, se cerrarán las partidas preindependizadas</w:t>
      </w:r>
      <w:r w:rsidR="00627D7E">
        <w:rPr>
          <w:rFonts w:ascii="Arial" w:hAnsi="Arial" w:cs="Arial"/>
          <w:sz w:val="24"/>
          <w:szCs w:val="24"/>
        </w:rPr>
        <w:t>"</w:t>
      </w:r>
      <w:r w:rsidRPr="00621BD6">
        <w:rPr>
          <w:rFonts w:ascii="Arial" w:hAnsi="Arial" w:cs="Arial"/>
          <w:sz w:val="24"/>
          <w:szCs w:val="24"/>
        </w:rPr>
        <w:t>.</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 xml:space="preserve">11. </w:t>
      </w:r>
      <w:r w:rsidRPr="00621BD6">
        <w:rPr>
          <w:rFonts w:ascii="Arial" w:hAnsi="Arial" w:cs="Arial"/>
          <w:sz w:val="24"/>
          <w:szCs w:val="24"/>
        </w:rPr>
        <w:t>En el presente caso, se puede apreciar que la licencia de habilitación</w:t>
      </w:r>
      <w:r w:rsidR="00627D7E">
        <w:rPr>
          <w:rFonts w:ascii="Arial" w:hAnsi="Arial" w:cs="Arial"/>
          <w:sz w:val="24"/>
          <w:szCs w:val="24"/>
        </w:rPr>
        <w:t xml:space="preserve"> </w:t>
      </w:r>
      <w:r w:rsidRPr="00621BD6">
        <w:rPr>
          <w:rFonts w:ascii="Arial" w:hAnsi="Arial" w:cs="Arial"/>
          <w:sz w:val="24"/>
          <w:szCs w:val="24"/>
        </w:rPr>
        <w:t>urbana ha vencido; por lo tanto, en cumplimiento de lo señalado por el RIRP,</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ha</w:t>
      </w:r>
      <w:r>
        <w:rPr>
          <w:rFonts w:ascii="Arial" w:hAnsi="Arial" w:cs="Arial"/>
          <w:sz w:val="24"/>
          <w:szCs w:val="24"/>
        </w:rPr>
        <w:t xml:space="preserve"> </w:t>
      </w:r>
      <w:r w:rsidRPr="00621BD6">
        <w:rPr>
          <w:rFonts w:ascii="Arial" w:hAnsi="Arial" w:cs="Arial"/>
          <w:sz w:val="24"/>
          <w:szCs w:val="24"/>
        </w:rPr>
        <w:t>producido</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caducidad</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anotación</w:t>
      </w:r>
      <w:r>
        <w:rPr>
          <w:rFonts w:ascii="Arial" w:hAnsi="Arial" w:cs="Arial"/>
          <w:sz w:val="24"/>
          <w:szCs w:val="24"/>
        </w:rPr>
        <w:t xml:space="preserve"> </w:t>
      </w:r>
      <w:r w:rsidRPr="00621BD6">
        <w:rPr>
          <w:rFonts w:ascii="Arial" w:hAnsi="Arial" w:cs="Arial"/>
          <w:sz w:val="24"/>
          <w:szCs w:val="24"/>
        </w:rPr>
        <w:t>preventiva</w:t>
      </w:r>
      <w:r>
        <w:rPr>
          <w:rFonts w:ascii="Arial" w:hAnsi="Arial" w:cs="Arial"/>
          <w:sz w:val="24"/>
          <w:szCs w:val="24"/>
        </w:rPr>
        <w:t xml:space="preserve"> </w:t>
      </w:r>
      <w:r w:rsidRPr="00621BD6">
        <w:rPr>
          <w:rFonts w:ascii="Arial" w:hAnsi="Arial" w:cs="Arial"/>
          <w:sz w:val="24"/>
          <w:szCs w:val="24"/>
        </w:rPr>
        <w:t>del proyecto de habilitación, lo que lleva consigo el cierre de las partidas preindependizadas.</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 xml:space="preserve">12. </w:t>
      </w:r>
      <w:r w:rsidRPr="00621BD6">
        <w:rPr>
          <w:rFonts w:ascii="Arial" w:hAnsi="Arial" w:cs="Arial"/>
          <w:sz w:val="24"/>
          <w:szCs w:val="24"/>
        </w:rPr>
        <w:t>Consecuentemente, al haberse extinguido la anotación preventiva</w:t>
      </w:r>
      <w:r>
        <w:rPr>
          <w:rFonts w:ascii="Arial" w:hAnsi="Arial" w:cs="Arial"/>
          <w:sz w:val="24"/>
          <w:szCs w:val="24"/>
        </w:rPr>
        <w:t xml:space="preserve"> </w:t>
      </w:r>
      <w:r w:rsidRPr="00621BD6">
        <w:rPr>
          <w:rFonts w:ascii="Arial" w:hAnsi="Arial" w:cs="Arial"/>
          <w:sz w:val="24"/>
          <w:szCs w:val="24"/>
        </w:rPr>
        <w:t>de preindependización,</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inscripción</w:t>
      </w:r>
      <w:r>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00627D7E" w:rsidRPr="00621BD6">
        <w:rPr>
          <w:rFonts w:ascii="Arial" w:hAnsi="Arial" w:cs="Arial"/>
          <w:sz w:val="24"/>
          <w:szCs w:val="24"/>
        </w:rPr>
        <w:t>Partida</w:t>
      </w:r>
      <w:r w:rsidR="00627D7E">
        <w:rPr>
          <w:rFonts w:ascii="Arial" w:hAnsi="Arial" w:cs="Arial"/>
          <w:sz w:val="24"/>
          <w:szCs w:val="24"/>
        </w:rPr>
        <w:t xml:space="preserve"> </w:t>
      </w:r>
      <w:r w:rsidRPr="00621BD6">
        <w:rPr>
          <w:rFonts w:ascii="Arial" w:hAnsi="Arial" w:cs="Arial"/>
          <w:sz w:val="24"/>
          <w:szCs w:val="24"/>
        </w:rPr>
        <w:t>N°</w:t>
      </w:r>
      <w:r>
        <w:rPr>
          <w:rFonts w:ascii="Arial" w:hAnsi="Arial" w:cs="Arial"/>
          <w:sz w:val="24"/>
          <w:szCs w:val="24"/>
        </w:rPr>
        <w:t xml:space="preserve"> </w:t>
      </w:r>
      <w:r w:rsidRPr="00621BD6">
        <w:rPr>
          <w:rFonts w:ascii="Arial" w:hAnsi="Arial" w:cs="Arial"/>
          <w:sz w:val="24"/>
          <w:szCs w:val="24"/>
        </w:rPr>
        <w:t>P03303647</w:t>
      </w:r>
      <w:r>
        <w:rPr>
          <w:rFonts w:ascii="Arial" w:hAnsi="Arial" w:cs="Arial"/>
          <w:sz w:val="24"/>
          <w:szCs w:val="24"/>
        </w:rPr>
        <w:t xml:space="preserve"> </w:t>
      </w:r>
      <w:r w:rsidRPr="00621BD6">
        <w:rPr>
          <w:rFonts w:ascii="Arial" w:hAnsi="Arial" w:cs="Arial"/>
          <w:sz w:val="24"/>
          <w:szCs w:val="24"/>
        </w:rPr>
        <w:t>del Registro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Predios</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Lima,</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la</w:t>
      </w:r>
      <w:r>
        <w:rPr>
          <w:rFonts w:ascii="Arial" w:hAnsi="Arial" w:cs="Arial"/>
          <w:sz w:val="24"/>
          <w:szCs w:val="24"/>
        </w:rPr>
        <w:t xml:space="preserve"> </w:t>
      </w:r>
      <w:r w:rsidRPr="00621BD6">
        <w:rPr>
          <w:rFonts w:ascii="Arial" w:hAnsi="Arial" w:cs="Arial"/>
          <w:sz w:val="24"/>
          <w:szCs w:val="24"/>
        </w:rPr>
        <w:t>compraventa</w:t>
      </w:r>
      <w:r>
        <w:rPr>
          <w:rFonts w:ascii="Arial" w:hAnsi="Arial" w:cs="Arial"/>
          <w:sz w:val="24"/>
          <w:szCs w:val="24"/>
        </w:rPr>
        <w:t xml:space="preserve"> </w:t>
      </w:r>
      <w:r w:rsidRPr="00621BD6">
        <w:rPr>
          <w:rFonts w:ascii="Arial" w:hAnsi="Arial" w:cs="Arial"/>
          <w:sz w:val="24"/>
          <w:szCs w:val="24"/>
        </w:rPr>
        <w:t>celebrada</w:t>
      </w:r>
      <w:r>
        <w:rPr>
          <w:rFonts w:ascii="Arial" w:hAnsi="Arial" w:cs="Arial"/>
          <w:sz w:val="24"/>
          <w:szCs w:val="24"/>
        </w:rPr>
        <w:t xml:space="preserve"> </w:t>
      </w:r>
      <w:r w:rsidRPr="00621BD6">
        <w:rPr>
          <w:rFonts w:ascii="Arial" w:hAnsi="Arial" w:cs="Arial"/>
          <w:sz w:val="24"/>
          <w:szCs w:val="24"/>
        </w:rPr>
        <w:t>por</w:t>
      </w:r>
      <w:r>
        <w:rPr>
          <w:rFonts w:ascii="Arial" w:hAnsi="Arial" w:cs="Arial"/>
          <w:sz w:val="24"/>
          <w:szCs w:val="24"/>
        </w:rPr>
        <w:t xml:space="preserve"> </w:t>
      </w:r>
      <w:r w:rsidRPr="00621BD6">
        <w:rPr>
          <w:rFonts w:ascii="Arial" w:hAnsi="Arial" w:cs="Arial"/>
          <w:sz w:val="24"/>
          <w:szCs w:val="24"/>
        </w:rPr>
        <w:t>la Compañía Inmobiliaria Constructora y de Transportes Estrella Andina S.A. (</w:t>
      </w:r>
      <w:r w:rsidR="00627D7E" w:rsidRPr="00621BD6">
        <w:rPr>
          <w:rFonts w:ascii="Arial" w:hAnsi="Arial" w:cs="Arial"/>
          <w:sz w:val="24"/>
          <w:szCs w:val="24"/>
        </w:rPr>
        <w:t>Cicontesa</w:t>
      </w:r>
      <w:r w:rsidRPr="00621BD6">
        <w:rPr>
          <w:rFonts w:ascii="Arial" w:hAnsi="Arial" w:cs="Arial"/>
          <w:sz w:val="24"/>
          <w:szCs w:val="24"/>
        </w:rPr>
        <w:t>)</w:t>
      </w:r>
      <w:r>
        <w:rPr>
          <w:rFonts w:ascii="Arial" w:hAnsi="Arial" w:cs="Arial"/>
          <w:sz w:val="24"/>
          <w:szCs w:val="24"/>
        </w:rPr>
        <w:t xml:space="preserve"> </w:t>
      </w:r>
      <w:r w:rsidRPr="00621BD6">
        <w:rPr>
          <w:rFonts w:ascii="Arial" w:hAnsi="Arial" w:cs="Arial"/>
          <w:sz w:val="24"/>
          <w:szCs w:val="24"/>
        </w:rPr>
        <w:t>a</w:t>
      </w:r>
      <w:r>
        <w:rPr>
          <w:rFonts w:ascii="Arial" w:hAnsi="Arial" w:cs="Arial"/>
          <w:sz w:val="24"/>
          <w:szCs w:val="24"/>
        </w:rPr>
        <w:t xml:space="preserve"> </w:t>
      </w:r>
      <w:r w:rsidRPr="00621BD6">
        <w:rPr>
          <w:rFonts w:ascii="Arial" w:hAnsi="Arial" w:cs="Arial"/>
          <w:sz w:val="24"/>
          <w:szCs w:val="24"/>
        </w:rPr>
        <w:t>favor</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Abel</w:t>
      </w:r>
      <w:r>
        <w:rPr>
          <w:rFonts w:ascii="Arial" w:hAnsi="Arial" w:cs="Arial"/>
          <w:sz w:val="24"/>
          <w:szCs w:val="24"/>
        </w:rPr>
        <w:t xml:space="preserve"> </w:t>
      </w:r>
      <w:r w:rsidRPr="00621BD6">
        <w:rPr>
          <w:rFonts w:ascii="Arial" w:hAnsi="Arial" w:cs="Arial"/>
          <w:sz w:val="24"/>
          <w:szCs w:val="24"/>
        </w:rPr>
        <w:t>Cabrera</w:t>
      </w:r>
      <w:r>
        <w:rPr>
          <w:rFonts w:ascii="Arial" w:hAnsi="Arial" w:cs="Arial"/>
          <w:sz w:val="24"/>
          <w:szCs w:val="24"/>
        </w:rPr>
        <w:t xml:space="preserve"> </w:t>
      </w:r>
      <w:r w:rsidRPr="00621BD6">
        <w:rPr>
          <w:rFonts w:ascii="Arial" w:hAnsi="Arial" w:cs="Arial"/>
          <w:sz w:val="24"/>
          <w:szCs w:val="24"/>
        </w:rPr>
        <w:t>Sánchez,</w:t>
      </w:r>
      <w:r>
        <w:rPr>
          <w:rFonts w:ascii="Arial" w:hAnsi="Arial" w:cs="Arial"/>
          <w:sz w:val="24"/>
          <w:szCs w:val="24"/>
        </w:rPr>
        <w:t xml:space="preserve"> </w:t>
      </w:r>
      <w:r w:rsidRPr="00621BD6">
        <w:rPr>
          <w:rFonts w:ascii="Arial" w:hAnsi="Arial" w:cs="Arial"/>
          <w:sz w:val="24"/>
          <w:szCs w:val="24"/>
        </w:rPr>
        <w:t>deviene</w:t>
      </w:r>
      <w:r>
        <w:rPr>
          <w:rFonts w:ascii="Arial" w:hAnsi="Arial" w:cs="Arial"/>
          <w:sz w:val="24"/>
          <w:szCs w:val="24"/>
        </w:rPr>
        <w:t xml:space="preserve"> </w:t>
      </w:r>
      <w:r w:rsidRPr="00621BD6">
        <w:rPr>
          <w:rFonts w:ascii="Arial" w:hAnsi="Arial" w:cs="Arial"/>
          <w:sz w:val="24"/>
          <w:szCs w:val="24"/>
        </w:rPr>
        <w:t>en improcedente, pues no pueden extenderse inscripciones en una partida registral que ha caducado. En efecto, aun cuando subsista la expresión material</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dichas</w:t>
      </w:r>
      <w:r>
        <w:rPr>
          <w:rFonts w:ascii="Arial" w:hAnsi="Arial" w:cs="Arial"/>
          <w:sz w:val="24"/>
          <w:szCs w:val="24"/>
        </w:rPr>
        <w:t xml:space="preserve"> </w:t>
      </w:r>
      <w:r w:rsidRPr="00621BD6">
        <w:rPr>
          <w:rFonts w:ascii="Arial" w:hAnsi="Arial" w:cs="Arial"/>
          <w:sz w:val="24"/>
          <w:szCs w:val="24"/>
        </w:rPr>
        <w:t>anotaciones;</w:t>
      </w:r>
      <w:r>
        <w:rPr>
          <w:rFonts w:ascii="Arial" w:hAnsi="Arial" w:cs="Arial"/>
          <w:sz w:val="24"/>
          <w:szCs w:val="24"/>
        </w:rPr>
        <w:t xml:space="preserve"> </w:t>
      </w:r>
      <w:r w:rsidRPr="00621BD6">
        <w:rPr>
          <w:rFonts w:ascii="Arial" w:hAnsi="Arial" w:cs="Arial"/>
          <w:sz w:val="24"/>
          <w:szCs w:val="24"/>
        </w:rPr>
        <w:t>es</w:t>
      </w:r>
      <w:r>
        <w:rPr>
          <w:rFonts w:ascii="Arial" w:hAnsi="Arial" w:cs="Arial"/>
          <w:sz w:val="24"/>
          <w:szCs w:val="24"/>
        </w:rPr>
        <w:t xml:space="preserve"> </w:t>
      </w:r>
      <w:r w:rsidRPr="00621BD6">
        <w:rPr>
          <w:rFonts w:ascii="Arial" w:hAnsi="Arial" w:cs="Arial"/>
          <w:sz w:val="24"/>
          <w:szCs w:val="24"/>
        </w:rPr>
        <w:t>decir,</w:t>
      </w:r>
      <w:r>
        <w:rPr>
          <w:rFonts w:ascii="Arial" w:hAnsi="Arial" w:cs="Arial"/>
          <w:sz w:val="24"/>
          <w:szCs w:val="24"/>
        </w:rPr>
        <w:t xml:space="preserve"> </w:t>
      </w:r>
      <w:r w:rsidRPr="00621BD6">
        <w:rPr>
          <w:rFonts w:ascii="Arial" w:hAnsi="Arial" w:cs="Arial"/>
          <w:sz w:val="24"/>
          <w:szCs w:val="24"/>
        </w:rPr>
        <w:t>aun</w:t>
      </w:r>
      <w:r>
        <w:rPr>
          <w:rFonts w:ascii="Arial" w:hAnsi="Arial" w:cs="Arial"/>
          <w:sz w:val="24"/>
          <w:szCs w:val="24"/>
        </w:rPr>
        <w:t xml:space="preserve"> </w:t>
      </w:r>
      <w:r w:rsidRPr="00621BD6">
        <w:rPr>
          <w:rFonts w:ascii="Arial" w:hAnsi="Arial" w:cs="Arial"/>
          <w:sz w:val="24"/>
          <w:szCs w:val="24"/>
        </w:rPr>
        <w:t>cuando</w:t>
      </w:r>
      <w:r>
        <w:rPr>
          <w:rFonts w:ascii="Arial" w:hAnsi="Arial" w:cs="Arial"/>
          <w:sz w:val="24"/>
          <w:szCs w:val="24"/>
        </w:rPr>
        <w:t xml:space="preserve"> </w:t>
      </w:r>
      <w:r w:rsidRPr="00621BD6">
        <w:rPr>
          <w:rFonts w:ascii="Arial" w:hAnsi="Arial" w:cs="Arial"/>
          <w:sz w:val="24"/>
          <w:szCs w:val="24"/>
        </w:rPr>
        <w:t>no</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hayan extendido los asientos de cancelación respectivos ni se hayan cerrado las</w:t>
      </w:r>
      <w:r w:rsidR="00627D7E">
        <w:rPr>
          <w:rFonts w:ascii="Arial" w:hAnsi="Arial" w:cs="Arial"/>
          <w:sz w:val="24"/>
          <w:szCs w:val="24"/>
        </w:rPr>
        <w:t xml:space="preserve"> </w:t>
      </w:r>
      <w:r w:rsidRPr="00621BD6">
        <w:rPr>
          <w:rFonts w:ascii="Arial" w:hAnsi="Arial" w:cs="Arial"/>
          <w:sz w:val="24"/>
          <w:szCs w:val="24"/>
        </w:rPr>
        <w:t>partidas preindependizadas, tales anotaciones no surten efecto alguno ni</w:t>
      </w:r>
      <w:r w:rsidR="00627D7E">
        <w:rPr>
          <w:rFonts w:ascii="Arial" w:hAnsi="Arial" w:cs="Arial"/>
          <w:sz w:val="24"/>
          <w:szCs w:val="24"/>
        </w:rPr>
        <w:t xml:space="preserve"> </w:t>
      </w:r>
      <w:r w:rsidRPr="00621BD6">
        <w:rPr>
          <w:rFonts w:ascii="Arial" w:hAnsi="Arial" w:cs="Arial"/>
          <w:sz w:val="24"/>
          <w:szCs w:val="24"/>
        </w:rPr>
        <w:t>puede extenderse ningún asiento en las partidas preindependizadas, las</w:t>
      </w:r>
      <w:r w:rsidR="00627D7E">
        <w:rPr>
          <w:rFonts w:ascii="Arial" w:hAnsi="Arial" w:cs="Arial"/>
          <w:sz w:val="24"/>
          <w:szCs w:val="24"/>
        </w:rPr>
        <w:t xml:space="preserve"> </w:t>
      </w:r>
      <w:r w:rsidRPr="00621BD6">
        <w:rPr>
          <w:rFonts w:ascii="Arial" w:hAnsi="Arial" w:cs="Arial"/>
          <w:sz w:val="24"/>
          <w:szCs w:val="24"/>
        </w:rPr>
        <w:t>cuales registralmente se reputan inexistentes</w:t>
      </w:r>
      <w:r w:rsidRPr="00627D7E">
        <w:rPr>
          <w:rFonts w:ascii="Arial" w:hAnsi="Arial" w:cs="Arial"/>
          <w:sz w:val="24"/>
          <w:szCs w:val="16"/>
          <w:vertAlign w:val="superscript"/>
        </w:rPr>
        <w:t>6</w:t>
      </w:r>
      <w:r w:rsidRPr="00621BD6">
        <w:rPr>
          <w:rFonts w:ascii="Arial" w:hAnsi="Arial" w:cs="Arial"/>
          <w:sz w:val="24"/>
          <w:szCs w:val="24"/>
        </w:rPr>
        <w:t>.</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Ahora bien, ya que la partida en la que se debe realizar la inscripción del acto rogado registralm</w:t>
      </w:r>
      <w:r w:rsidR="00627D7E" w:rsidRPr="00621BD6">
        <w:rPr>
          <w:rFonts w:ascii="Arial" w:hAnsi="Arial" w:cs="Arial"/>
          <w:sz w:val="24"/>
          <w:szCs w:val="24"/>
        </w:rPr>
        <w:t>ente se reputa inexistente, esta sala concluye que el</w:t>
      </w:r>
      <w:r w:rsidR="00627D7E">
        <w:rPr>
          <w:rFonts w:ascii="Arial" w:hAnsi="Arial" w:cs="Arial"/>
          <w:sz w:val="24"/>
          <w:szCs w:val="24"/>
        </w:rPr>
        <w:t xml:space="preserve"> </w:t>
      </w:r>
      <w:r w:rsidR="00627D7E" w:rsidRPr="00621BD6">
        <w:rPr>
          <w:rFonts w:ascii="Arial" w:hAnsi="Arial" w:cs="Arial"/>
          <w:sz w:val="24"/>
          <w:szCs w:val="24"/>
        </w:rPr>
        <w:t>caso</w:t>
      </w:r>
      <w:r w:rsidR="00627D7E">
        <w:rPr>
          <w:rFonts w:ascii="Arial" w:hAnsi="Arial" w:cs="Arial"/>
          <w:sz w:val="24"/>
          <w:szCs w:val="24"/>
        </w:rPr>
        <w:t xml:space="preserve"> </w:t>
      </w:r>
      <w:r w:rsidRPr="00621BD6">
        <w:rPr>
          <w:rFonts w:ascii="Arial" w:hAnsi="Arial" w:cs="Arial"/>
          <w:sz w:val="24"/>
          <w:szCs w:val="24"/>
        </w:rPr>
        <w:t>estudiado</w:t>
      </w:r>
      <w:r>
        <w:rPr>
          <w:rFonts w:ascii="Arial" w:hAnsi="Arial" w:cs="Arial"/>
          <w:sz w:val="24"/>
          <w:szCs w:val="24"/>
        </w:rPr>
        <w:t xml:space="preserve"> </w:t>
      </w:r>
      <w:r w:rsidRPr="00621BD6">
        <w:rPr>
          <w:rFonts w:ascii="Arial" w:hAnsi="Arial" w:cs="Arial"/>
          <w:sz w:val="24"/>
          <w:szCs w:val="24"/>
        </w:rPr>
        <w:t>se</w:t>
      </w:r>
      <w:r>
        <w:rPr>
          <w:rFonts w:ascii="Arial" w:hAnsi="Arial" w:cs="Arial"/>
          <w:sz w:val="24"/>
          <w:szCs w:val="24"/>
        </w:rPr>
        <w:t xml:space="preserve"> </w:t>
      </w:r>
      <w:r w:rsidRPr="00621BD6">
        <w:rPr>
          <w:rFonts w:ascii="Arial" w:hAnsi="Arial" w:cs="Arial"/>
          <w:sz w:val="24"/>
          <w:szCs w:val="24"/>
        </w:rPr>
        <w:t>subsume</w:t>
      </w:r>
      <w:r>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supuesto</w:t>
      </w:r>
      <w:r>
        <w:rPr>
          <w:rFonts w:ascii="Arial" w:hAnsi="Arial" w:cs="Arial"/>
          <w:sz w:val="24"/>
          <w:szCs w:val="24"/>
        </w:rPr>
        <w:t xml:space="preserve"> </w:t>
      </w:r>
      <w:r w:rsidRPr="00621BD6">
        <w:rPr>
          <w:rFonts w:ascii="Arial" w:hAnsi="Arial" w:cs="Arial"/>
          <w:sz w:val="24"/>
          <w:szCs w:val="24"/>
        </w:rPr>
        <w:t>de</w:t>
      </w:r>
      <w:r>
        <w:rPr>
          <w:rFonts w:ascii="Arial" w:hAnsi="Arial" w:cs="Arial"/>
          <w:sz w:val="24"/>
          <w:szCs w:val="24"/>
        </w:rPr>
        <w:t xml:space="preserve"> </w:t>
      </w:r>
      <w:r w:rsidRPr="00621BD6">
        <w:rPr>
          <w:rFonts w:ascii="Arial" w:hAnsi="Arial" w:cs="Arial"/>
          <w:sz w:val="24"/>
          <w:szCs w:val="24"/>
        </w:rPr>
        <w:t>tacha</w:t>
      </w:r>
      <w:r>
        <w:rPr>
          <w:rFonts w:ascii="Arial" w:hAnsi="Arial" w:cs="Arial"/>
          <w:sz w:val="24"/>
          <w:szCs w:val="24"/>
        </w:rPr>
        <w:t xml:space="preserve"> </w:t>
      </w:r>
      <w:r w:rsidRPr="00621BD6">
        <w:rPr>
          <w:rFonts w:ascii="Arial" w:hAnsi="Arial" w:cs="Arial"/>
          <w:sz w:val="24"/>
          <w:szCs w:val="24"/>
        </w:rPr>
        <w:t>sustantiva contemplado</w:t>
      </w:r>
      <w:r>
        <w:rPr>
          <w:rFonts w:ascii="Arial" w:hAnsi="Arial" w:cs="Arial"/>
          <w:sz w:val="24"/>
          <w:szCs w:val="24"/>
        </w:rPr>
        <w:t xml:space="preserve"> </w:t>
      </w:r>
      <w:r w:rsidRPr="00621BD6">
        <w:rPr>
          <w:rFonts w:ascii="Arial" w:hAnsi="Arial" w:cs="Arial"/>
          <w:sz w:val="24"/>
          <w:szCs w:val="24"/>
        </w:rPr>
        <w:t>en</w:t>
      </w:r>
      <w:r>
        <w:rPr>
          <w:rFonts w:ascii="Arial" w:hAnsi="Arial" w:cs="Arial"/>
          <w:sz w:val="24"/>
          <w:szCs w:val="24"/>
        </w:rPr>
        <w:t xml:space="preserve"> </w:t>
      </w:r>
      <w:r w:rsidRPr="00621BD6">
        <w:rPr>
          <w:rFonts w:ascii="Arial" w:hAnsi="Arial" w:cs="Arial"/>
          <w:sz w:val="24"/>
          <w:szCs w:val="24"/>
        </w:rPr>
        <w:t>el</w:t>
      </w:r>
      <w:r>
        <w:rPr>
          <w:rFonts w:ascii="Arial" w:hAnsi="Arial" w:cs="Arial"/>
          <w:sz w:val="24"/>
          <w:szCs w:val="24"/>
        </w:rPr>
        <w:t xml:space="preserve"> </w:t>
      </w:r>
      <w:r w:rsidRPr="00621BD6">
        <w:rPr>
          <w:rFonts w:ascii="Arial" w:hAnsi="Arial" w:cs="Arial"/>
          <w:sz w:val="24"/>
          <w:szCs w:val="24"/>
        </w:rPr>
        <w:t>literal</w:t>
      </w:r>
      <w:r>
        <w:rPr>
          <w:rFonts w:ascii="Arial" w:hAnsi="Arial" w:cs="Arial"/>
          <w:sz w:val="24"/>
          <w:szCs w:val="24"/>
        </w:rPr>
        <w:t xml:space="preserve"> </w:t>
      </w:r>
      <w:r w:rsidRPr="00621BD6">
        <w:rPr>
          <w:rFonts w:ascii="Arial" w:hAnsi="Arial" w:cs="Arial"/>
          <w:sz w:val="24"/>
          <w:szCs w:val="24"/>
        </w:rPr>
        <w:t>b)</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artículo</w:t>
      </w:r>
      <w:r>
        <w:rPr>
          <w:rFonts w:ascii="Arial" w:hAnsi="Arial" w:cs="Arial"/>
          <w:sz w:val="24"/>
          <w:szCs w:val="24"/>
        </w:rPr>
        <w:t xml:space="preserve"> </w:t>
      </w:r>
      <w:r w:rsidRPr="00621BD6">
        <w:rPr>
          <w:rFonts w:ascii="Arial" w:hAnsi="Arial" w:cs="Arial"/>
          <w:sz w:val="24"/>
          <w:szCs w:val="24"/>
        </w:rPr>
        <w:t>42</w:t>
      </w:r>
      <w:r>
        <w:rPr>
          <w:rFonts w:ascii="Arial" w:hAnsi="Arial" w:cs="Arial"/>
          <w:sz w:val="24"/>
          <w:szCs w:val="24"/>
        </w:rPr>
        <w:t xml:space="preserve"> </w:t>
      </w:r>
      <w:r w:rsidRPr="00621BD6">
        <w:rPr>
          <w:rFonts w:ascii="Arial" w:hAnsi="Arial" w:cs="Arial"/>
          <w:sz w:val="24"/>
          <w:szCs w:val="24"/>
        </w:rPr>
        <w:t>del</w:t>
      </w:r>
      <w:r>
        <w:rPr>
          <w:rFonts w:ascii="Arial" w:hAnsi="Arial" w:cs="Arial"/>
          <w:sz w:val="24"/>
          <w:szCs w:val="24"/>
        </w:rPr>
        <w:t xml:space="preserve"> </w:t>
      </w:r>
      <w:r w:rsidRPr="00621BD6">
        <w:rPr>
          <w:rFonts w:ascii="Arial" w:hAnsi="Arial" w:cs="Arial"/>
          <w:sz w:val="24"/>
          <w:szCs w:val="24"/>
        </w:rPr>
        <w:t>RGRP,</w:t>
      </w:r>
      <w:r>
        <w:rPr>
          <w:rFonts w:ascii="Arial" w:hAnsi="Arial" w:cs="Arial"/>
          <w:sz w:val="24"/>
          <w:szCs w:val="24"/>
        </w:rPr>
        <w:t xml:space="preserve"> </w:t>
      </w:r>
      <w:r w:rsidRPr="00621BD6">
        <w:rPr>
          <w:rFonts w:ascii="Arial" w:hAnsi="Arial" w:cs="Arial"/>
          <w:sz w:val="24"/>
          <w:szCs w:val="24"/>
        </w:rPr>
        <w:t>al</w:t>
      </w:r>
      <w:r>
        <w:rPr>
          <w:rFonts w:ascii="Arial" w:hAnsi="Arial" w:cs="Arial"/>
          <w:sz w:val="24"/>
          <w:szCs w:val="24"/>
        </w:rPr>
        <w:t xml:space="preserve"> </w:t>
      </w:r>
      <w:r w:rsidRPr="00621BD6">
        <w:rPr>
          <w:rFonts w:ascii="Arial" w:hAnsi="Arial" w:cs="Arial"/>
          <w:sz w:val="24"/>
          <w:szCs w:val="24"/>
        </w:rPr>
        <w:t>existir</w:t>
      </w:r>
      <w:r>
        <w:rPr>
          <w:rFonts w:ascii="Arial" w:hAnsi="Arial" w:cs="Arial"/>
          <w:sz w:val="24"/>
          <w:szCs w:val="24"/>
        </w:rPr>
        <w:t xml:space="preserve"> </w:t>
      </w:r>
      <w:r w:rsidRPr="00621BD6">
        <w:rPr>
          <w:rFonts w:ascii="Arial" w:hAnsi="Arial" w:cs="Arial"/>
          <w:sz w:val="24"/>
          <w:szCs w:val="24"/>
        </w:rPr>
        <w:t xml:space="preserve">un obstáculo insalvable que emana de la partida registral. En consecuencia, corresponde </w:t>
      </w:r>
      <w:r w:rsidRPr="00621BD6">
        <w:rPr>
          <w:rFonts w:ascii="Arial" w:hAnsi="Arial" w:cs="Arial"/>
          <w:b/>
          <w:bCs/>
          <w:sz w:val="24"/>
          <w:szCs w:val="24"/>
        </w:rPr>
        <w:t>confirmar la denegatoria de inscripción formulada por la registradora y disponer la</w:t>
      </w:r>
      <w:r>
        <w:rPr>
          <w:rFonts w:ascii="Arial" w:hAnsi="Arial" w:cs="Arial"/>
          <w:b/>
          <w:bCs/>
          <w:sz w:val="24"/>
          <w:szCs w:val="24"/>
        </w:rPr>
        <w:t xml:space="preserve"> </w:t>
      </w:r>
      <w:r w:rsidRPr="00621BD6">
        <w:rPr>
          <w:rFonts w:ascii="Arial" w:hAnsi="Arial" w:cs="Arial"/>
          <w:b/>
          <w:bCs/>
          <w:sz w:val="24"/>
          <w:szCs w:val="24"/>
        </w:rPr>
        <w:t>tacha sustantiva del título materia de</w:t>
      </w:r>
      <w:r w:rsidR="00627D7E">
        <w:rPr>
          <w:rFonts w:ascii="Arial" w:hAnsi="Arial" w:cs="Arial"/>
          <w:b/>
          <w:bCs/>
          <w:sz w:val="24"/>
          <w:szCs w:val="24"/>
        </w:rPr>
        <w:t xml:space="preserve"> </w:t>
      </w:r>
      <w:r w:rsidRPr="00621BD6">
        <w:rPr>
          <w:rFonts w:ascii="Arial" w:hAnsi="Arial" w:cs="Arial"/>
          <w:b/>
          <w:bCs/>
          <w:sz w:val="24"/>
          <w:szCs w:val="24"/>
        </w:rPr>
        <w:t>grado.</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Con la intervención de la vocal (s) Karina Massiel Sánchez Sánchez,</w:t>
      </w:r>
      <w:r w:rsidR="00627D7E">
        <w:rPr>
          <w:rFonts w:ascii="Arial" w:hAnsi="Arial" w:cs="Arial"/>
          <w:sz w:val="24"/>
          <w:szCs w:val="24"/>
        </w:rPr>
        <w:t xml:space="preserve"> </w:t>
      </w:r>
      <w:r w:rsidRPr="00621BD6">
        <w:rPr>
          <w:rFonts w:ascii="Arial" w:hAnsi="Arial" w:cs="Arial"/>
          <w:sz w:val="24"/>
          <w:szCs w:val="24"/>
        </w:rPr>
        <w:t>autorizada mediante Resolución N</w:t>
      </w:r>
      <w:r w:rsidR="00627D7E">
        <w:rPr>
          <w:rFonts w:ascii="Arial" w:hAnsi="Arial" w:cs="Arial"/>
          <w:sz w:val="24"/>
          <w:szCs w:val="24"/>
        </w:rPr>
        <w:t>.</w:t>
      </w:r>
      <w:r w:rsidRPr="00621BD6">
        <w:rPr>
          <w:rFonts w:ascii="Arial" w:hAnsi="Arial" w:cs="Arial"/>
          <w:sz w:val="24"/>
          <w:szCs w:val="24"/>
        </w:rPr>
        <w:t>° 032-2024-</w:t>
      </w:r>
      <w:r>
        <w:rPr>
          <w:rFonts w:ascii="Arial" w:hAnsi="Arial" w:cs="Arial"/>
          <w:sz w:val="24"/>
          <w:szCs w:val="24"/>
        </w:rPr>
        <w:t>Sunarp</w:t>
      </w:r>
      <w:r w:rsidRPr="00621BD6">
        <w:rPr>
          <w:rFonts w:ascii="Arial" w:hAnsi="Arial" w:cs="Arial"/>
          <w:sz w:val="24"/>
          <w:szCs w:val="24"/>
        </w:rPr>
        <w:t>/PT del 22/1/2024.</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sz w:val="24"/>
          <w:szCs w:val="24"/>
        </w:rPr>
        <w:t>Estando a lo acordado por unanimidad;</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lastRenderedPageBreak/>
        <w:t>VII.</w:t>
      </w:r>
      <w:r>
        <w:rPr>
          <w:rFonts w:ascii="Arial" w:hAnsi="Arial" w:cs="Arial"/>
          <w:b/>
          <w:bCs/>
          <w:sz w:val="24"/>
          <w:szCs w:val="24"/>
        </w:rPr>
        <w:t xml:space="preserve"> </w:t>
      </w:r>
      <w:r w:rsidR="00627D7E" w:rsidRPr="00621BD6">
        <w:rPr>
          <w:rFonts w:ascii="Arial" w:hAnsi="Arial" w:cs="Arial"/>
          <w:b/>
          <w:bCs/>
          <w:sz w:val="24"/>
          <w:szCs w:val="24"/>
        </w:rPr>
        <w:t>Resolución</w:t>
      </w:r>
    </w:p>
    <w:p w:rsidR="00621BD6" w:rsidRDefault="00627D7E"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 xml:space="preserve">Confirmar </w:t>
      </w:r>
      <w:r w:rsidR="00621BD6" w:rsidRPr="00621BD6">
        <w:rPr>
          <w:rFonts w:ascii="Arial" w:hAnsi="Arial" w:cs="Arial"/>
          <w:sz w:val="24"/>
          <w:szCs w:val="24"/>
        </w:rPr>
        <w:t xml:space="preserve">la denegatoria de inscripción formulada por la registradora pública del Registro de Predios de Lima, y </w:t>
      </w:r>
      <w:r w:rsidRPr="00621BD6">
        <w:rPr>
          <w:rFonts w:ascii="Arial" w:hAnsi="Arial" w:cs="Arial"/>
          <w:b/>
          <w:bCs/>
          <w:sz w:val="24"/>
          <w:szCs w:val="24"/>
        </w:rPr>
        <w:t xml:space="preserve">Disponer </w:t>
      </w:r>
      <w:r w:rsidR="00621BD6" w:rsidRPr="00621BD6">
        <w:rPr>
          <w:rFonts w:ascii="Arial" w:hAnsi="Arial" w:cs="Arial"/>
          <w:sz w:val="24"/>
          <w:szCs w:val="24"/>
        </w:rPr>
        <w:t>la tacha sustantiva del título señalado en el encabezamiento, por los fundamentos vertidos en el análisis de la presente resolución.</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szCs w:val="24"/>
        </w:rPr>
      </w:pPr>
      <w:r w:rsidRPr="00621BD6">
        <w:rPr>
          <w:rFonts w:ascii="Arial" w:hAnsi="Arial" w:cs="Arial"/>
          <w:b/>
          <w:bCs/>
          <w:sz w:val="24"/>
          <w:szCs w:val="24"/>
        </w:rPr>
        <w:t>Regístrese y comuníquese.</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rPr>
        <w:t>Fdo.</w:t>
      </w:r>
    </w:p>
    <w:p w:rsidR="00621BD6" w:rsidRPr="00621BD6" w:rsidRDefault="00627D7E"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rPr>
        <w:t>Elena Rosa Vásquez Torres</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Presidenta (e) de la Tercera Sala del Tribunal Registral</w:t>
      </w:r>
    </w:p>
    <w:p w:rsidR="00621BD6" w:rsidRPr="00621BD6" w:rsidRDefault="00627D7E"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rPr>
        <w:t>Beatriz Cruz Peñaherrera</w:t>
      </w:r>
    </w:p>
    <w:p w:rsidR="00621BD6" w:rsidRP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Vocal del Tribunal Registral</w:t>
      </w:r>
    </w:p>
    <w:p w:rsidR="00621BD6" w:rsidRPr="00621BD6" w:rsidRDefault="00627D7E"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b/>
          <w:bCs/>
          <w:sz w:val="24"/>
        </w:rPr>
        <w:t>Karina Massiel Sánchez Sánchez</w:t>
      </w:r>
    </w:p>
    <w:p w:rsidR="00621BD6"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4"/>
        </w:rPr>
      </w:pPr>
      <w:r w:rsidRPr="00621BD6">
        <w:rPr>
          <w:rFonts w:ascii="Arial" w:hAnsi="Arial" w:cs="Arial"/>
          <w:sz w:val="24"/>
        </w:rPr>
        <w:t>Vocal (s) del Tribunal Registral</w:t>
      </w:r>
    </w:p>
    <w:p w:rsidR="00621BD6" w:rsidRPr="00627D7E" w:rsidRDefault="00621BD6" w:rsidP="00627D7E">
      <w:pPr>
        <w:pBdr>
          <w:bottom w:val="nil"/>
        </w:pBdr>
        <w:autoSpaceDE w:val="0"/>
        <w:autoSpaceDN w:val="0"/>
        <w:adjustRightInd w:val="0"/>
        <w:rPr>
          <w:rFonts w:ascii="Arial" w:hAnsi="Arial" w:cs="Arial"/>
          <w:sz w:val="20"/>
          <w:szCs w:val="20"/>
        </w:rPr>
      </w:pPr>
      <w:r w:rsidRPr="00627D7E">
        <w:rPr>
          <w:rFonts w:ascii="Arial" w:hAnsi="Arial" w:cs="Arial"/>
          <w:sz w:val="20"/>
          <w:szCs w:val="20"/>
        </w:rPr>
        <w:t>__________</w:t>
      </w:r>
    </w:p>
    <w:p w:rsidR="00621BD6" w:rsidRPr="00627D7E"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0"/>
          <w:szCs w:val="20"/>
        </w:rPr>
      </w:pPr>
      <w:r w:rsidRPr="00627D7E">
        <w:rPr>
          <w:rFonts w:ascii="Arial" w:hAnsi="Arial" w:cs="Arial"/>
          <w:sz w:val="20"/>
          <w:szCs w:val="20"/>
        </w:rPr>
        <w:t xml:space="preserve">1 Publicado en el </w:t>
      </w:r>
      <w:r w:rsidR="00627D7E" w:rsidRPr="00627D7E">
        <w:rPr>
          <w:rFonts w:ascii="Arial" w:hAnsi="Arial" w:cs="Arial"/>
          <w:sz w:val="20"/>
          <w:szCs w:val="20"/>
        </w:rPr>
        <w:t>Diario Oficial "</w:t>
      </w:r>
      <w:r w:rsidRPr="00627D7E">
        <w:rPr>
          <w:rFonts w:ascii="Arial" w:hAnsi="Arial" w:cs="Arial"/>
          <w:sz w:val="20"/>
          <w:szCs w:val="20"/>
        </w:rPr>
        <w:t>El Peruano</w:t>
      </w:r>
      <w:r w:rsidR="00627D7E" w:rsidRPr="00627D7E">
        <w:rPr>
          <w:rFonts w:ascii="Arial" w:hAnsi="Arial" w:cs="Arial"/>
          <w:sz w:val="20"/>
          <w:szCs w:val="20"/>
        </w:rPr>
        <w:t>" el 8/6/2006.</w:t>
      </w:r>
    </w:p>
    <w:p w:rsidR="00621BD6" w:rsidRPr="00627D7E" w:rsidRDefault="00621BD6" w:rsidP="00621BD6">
      <w:pPr>
        <w:autoSpaceDE w:val="0"/>
        <w:autoSpaceDN w:val="0"/>
        <w:adjustRightInd w:val="0"/>
        <w:rPr>
          <w:rFonts w:ascii="Arial" w:hAnsi="Arial" w:cs="Arial"/>
          <w:sz w:val="20"/>
          <w:szCs w:val="20"/>
        </w:rPr>
      </w:pPr>
      <w:r w:rsidRPr="00627D7E">
        <w:rPr>
          <w:rFonts w:ascii="Arial" w:hAnsi="Arial" w:cs="Arial"/>
          <w:sz w:val="20"/>
          <w:szCs w:val="20"/>
        </w:rPr>
        <w:t>2 Aprobado mediante Decreto Supremo N</w:t>
      </w:r>
      <w:r w:rsidR="00627D7E" w:rsidRPr="00627D7E">
        <w:rPr>
          <w:rFonts w:ascii="Arial" w:hAnsi="Arial" w:cs="Arial"/>
          <w:sz w:val="20"/>
          <w:szCs w:val="20"/>
        </w:rPr>
        <w:t>.</w:t>
      </w:r>
      <w:r w:rsidRPr="00627D7E">
        <w:rPr>
          <w:rFonts w:ascii="Arial" w:hAnsi="Arial" w:cs="Arial"/>
          <w:sz w:val="20"/>
          <w:szCs w:val="20"/>
        </w:rPr>
        <w:t>° 006-2017-</w:t>
      </w:r>
      <w:r w:rsidR="00627D7E" w:rsidRPr="00627D7E">
        <w:rPr>
          <w:rFonts w:ascii="Arial" w:hAnsi="Arial" w:cs="Arial"/>
          <w:sz w:val="20"/>
          <w:szCs w:val="20"/>
        </w:rPr>
        <w:t>Vivienda</w:t>
      </w:r>
      <w:r w:rsidRPr="00627D7E">
        <w:rPr>
          <w:rFonts w:ascii="Arial" w:hAnsi="Arial" w:cs="Arial"/>
          <w:sz w:val="20"/>
          <w:szCs w:val="20"/>
        </w:rPr>
        <w:t xml:space="preserve">, publicado en el </w:t>
      </w:r>
      <w:r w:rsidR="00627D7E" w:rsidRPr="00627D7E">
        <w:rPr>
          <w:rFonts w:ascii="Arial" w:hAnsi="Arial" w:cs="Arial"/>
          <w:sz w:val="20"/>
          <w:szCs w:val="20"/>
        </w:rPr>
        <w:t>Diario Oficial "</w:t>
      </w:r>
      <w:r w:rsidRPr="00627D7E">
        <w:rPr>
          <w:rFonts w:ascii="Arial" w:hAnsi="Arial" w:cs="Arial"/>
          <w:sz w:val="20"/>
          <w:szCs w:val="20"/>
        </w:rPr>
        <w:t>El Peruano</w:t>
      </w:r>
      <w:r w:rsidR="00627D7E" w:rsidRPr="00627D7E">
        <w:rPr>
          <w:rFonts w:ascii="Arial" w:hAnsi="Arial" w:cs="Arial"/>
          <w:sz w:val="20"/>
          <w:szCs w:val="20"/>
        </w:rPr>
        <w:t>"</w:t>
      </w:r>
      <w:r w:rsidRPr="00627D7E">
        <w:rPr>
          <w:rFonts w:ascii="Arial" w:hAnsi="Arial" w:cs="Arial"/>
          <w:sz w:val="20"/>
          <w:szCs w:val="20"/>
        </w:rPr>
        <w:t xml:space="preserve"> el 28/2/2017. </w:t>
      </w:r>
    </w:p>
    <w:p w:rsidR="00621BD6" w:rsidRPr="00627D7E"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0"/>
          <w:szCs w:val="20"/>
        </w:rPr>
      </w:pPr>
      <w:r w:rsidRPr="00627D7E">
        <w:rPr>
          <w:rFonts w:ascii="Arial" w:hAnsi="Arial" w:cs="Arial"/>
          <w:sz w:val="20"/>
          <w:szCs w:val="20"/>
        </w:rPr>
        <w:t>3 Derogado por el Decreto Supremo N</w:t>
      </w:r>
      <w:r w:rsidR="00627D7E" w:rsidRPr="00627D7E">
        <w:rPr>
          <w:rFonts w:ascii="Arial" w:hAnsi="Arial" w:cs="Arial"/>
          <w:sz w:val="20"/>
          <w:szCs w:val="20"/>
        </w:rPr>
        <w:t>.</w:t>
      </w:r>
      <w:r w:rsidRPr="00627D7E">
        <w:rPr>
          <w:rFonts w:ascii="Arial" w:hAnsi="Arial" w:cs="Arial"/>
          <w:sz w:val="20"/>
          <w:szCs w:val="20"/>
        </w:rPr>
        <w:t>° 008-2013-</w:t>
      </w:r>
      <w:r w:rsidR="00627D7E" w:rsidRPr="00627D7E">
        <w:rPr>
          <w:rFonts w:ascii="Arial" w:hAnsi="Arial" w:cs="Arial"/>
          <w:sz w:val="20"/>
          <w:szCs w:val="20"/>
        </w:rPr>
        <w:t>Vivienda</w:t>
      </w:r>
      <w:r w:rsidRPr="00627D7E">
        <w:rPr>
          <w:rFonts w:ascii="Arial" w:hAnsi="Arial" w:cs="Arial"/>
          <w:sz w:val="20"/>
          <w:szCs w:val="20"/>
        </w:rPr>
        <w:t>, que a su vez fue derogado por derogado por el Decreto Supremo N° 011-2017-</w:t>
      </w:r>
      <w:r w:rsidR="00627D7E" w:rsidRPr="00627D7E">
        <w:rPr>
          <w:rFonts w:ascii="Arial" w:hAnsi="Arial" w:cs="Arial"/>
          <w:sz w:val="20"/>
          <w:szCs w:val="20"/>
        </w:rPr>
        <w:t>Vivienda.</w:t>
      </w:r>
    </w:p>
    <w:p w:rsidR="00621BD6" w:rsidRPr="00627D7E"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0"/>
          <w:szCs w:val="20"/>
        </w:rPr>
      </w:pPr>
      <w:r w:rsidRPr="00627D7E">
        <w:rPr>
          <w:rFonts w:ascii="Arial" w:hAnsi="Arial" w:cs="Arial"/>
          <w:sz w:val="20"/>
          <w:szCs w:val="20"/>
        </w:rPr>
        <w:t xml:space="preserve">4 Conforme la documentación obrante en el </w:t>
      </w:r>
      <w:r w:rsidR="00627D7E" w:rsidRPr="00627D7E">
        <w:rPr>
          <w:rFonts w:ascii="Arial" w:hAnsi="Arial" w:cs="Arial"/>
          <w:sz w:val="20"/>
          <w:szCs w:val="20"/>
        </w:rPr>
        <w:t xml:space="preserve">Título Archivado </w:t>
      </w:r>
      <w:r w:rsidRPr="00627D7E">
        <w:rPr>
          <w:rFonts w:ascii="Arial" w:hAnsi="Arial" w:cs="Arial"/>
          <w:sz w:val="20"/>
          <w:szCs w:val="20"/>
        </w:rPr>
        <w:t xml:space="preserve">N° 559123 del 3/6/2014, que diera mérito a extender el asiento 00012 de la </w:t>
      </w:r>
      <w:r w:rsidR="00627D7E" w:rsidRPr="00627D7E">
        <w:rPr>
          <w:rFonts w:ascii="Arial" w:hAnsi="Arial" w:cs="Arial"/>
          <w:sz w:val="20"/>
          <w:szCs w:val="20"/>
        </w:rPr>
        <w:t xml:space="preserve">Partida Matriz </w:t>
      </w:r>
      <w:r w:rsidRPr="00627D7E">
        <w:rPr>
          <w:rFonts w:ascii="Arial" w:hAnsi="Arial" w:cs="Arial"/>
          <w:sz w:val="20"/>
          <w:szCs w:val="20"/>
        </w:rPr>
        <w:t>N.° P03154716 del Registro de Predios de Lima, la aprobación de la habilitación urbana se solicitó bajo el</w:t>
      </w:r>
      <w:r w:rsidR="00627D7E" w:rsidRPr="00627D7E">
        <w:rPr>
          <w:rFonts w:ascii="Arial" w:hAnsi="Arial" w:cs="Arial"/>
          <w:sz w:val="20"/>
          <w:szCs w:val="20"/>
        </w:rPr>
        <w:t xml:space="preserve"> Exp. N.° 464-2012 del 8/3/2012.</w:t>
      </w:r>
    </w:p>
    <w:p w:rsidR="00621BD6" w:rsidRPr="00627D7E" w:rsidRDefault="00621BD6" w:rsidP="00621BD6">
      <w:pPr>
        <w:autoSpaceDE w:val="0"/>
        <w:autoSpaceDN w:val="0"/>
        <w:adjustRightInd w:val="0"/>
        <w:rPr>
          <w:rFonts w:ascii="Arial" w:hAnsi="Arial" w:cs="Arial"/>
          <w:sz w:val="20"/>
          <w:szCs w:val="20"/>
        </w:rPr>
      </w:pPr>
      <w:r w:rsidRPr="00627D7E">
        <w:rPr>
          <w:rFonts w:ascii="Arial" w:hAnsi="Arial" w:cs="Arial"/>
          <w:sz w:val="20"/>
          <w:szCs w:val="20"/>
        </w:rPr>
        <w:t xml:space="preserve">5 Publicado en el </w:t>
      </w:r>
      <w:r w:rsidR="00627D7E" w:rsidRPr="00627D7E">
        <w:rPr>
          <w:rFonts w:ascii="Arial" w:hAnsi="Arial" w:cs="Arial"/>
          <w:sz w:val="20"/>
          <w:szCs w:val="20"/>
        </w:rPr>
        <w:t>Diario Oficial "</w:t>
      </w:r>
      <w:r w:rsidRPr="00627D7E">
        <w:rPr>
          <w:rFonts w:ascii="Arial" w:hAnsi="Arial" w:cs="Arial"/>
          <w:sz w:val="20"/>
          <w:szCs w:val="20"/>
        </w:rPr>
        <w:t>El Peruano</w:t>
      </w:r>
      <w:r w:rsidR="00627D7E" w:rsidRPr="00627D7E">
        <w:rPr>
          <w:rFonts w:ascii="Arial" w:hAnsi="Arial" w:cs="Arial"/>
          <w:sz w:val="20"/>
          <w:szCs w:val="20"/>
        </w:rPr>
        <w:t>"</w:t>
      </w:r>
      <w:r w:rsidRPr="00627D7E">
        <w:rPr>
          <w:rFonts w:ascii="Arial" w:hAnsi="Arial" w:cs="Arial"/>
          <w:sz w:val="20"/>
          <w:szCs w:val="20"/>
        </w:rPr>
        <w:t xml:space="preserve">, el 28.02.2017. </w:t>
      </w:r>
    </w:p>
    <w:p w:rsidR="00621BD6" w:rsidRPr="00627D7E" w:rsidRDefault="00621BD6" w:rsidP="00621B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0"/>
          <w:szCs w:val="20"/>
        </w:rPr>
      </w:pPr>
      <w:r w:rsidRPr="00627D7E">
        <w:rPr>
          <w:rFonts w:ascii="Arial" w:hAnsi="Arial" w:cs="Arial"/>
          <w:sz w:val="20"/>
          <w:szCs w:val="20"/>
        </w:rPr>
        <w:t>6</w:t>
      </w:r>
      <w:r w:rsidR="00627D7E" w:rsidRPr="00627D7E">
        <w:rPr>
          <w:rFonts w:ascii="Arial" w:hAnsi="Arial" w:cs="Arial"/>
          <w:sz w:val="20"/>
          <w:szCs w:val="20"/>
        </w:rPr>
        <w:t xml:space="preserve"> </w:t>
      </w:r>
      <w:r w:rsidRPr="00627D7E">
        <w:rPr>
          <w:rFonts w:ascii="Arial" w:hAnsi="Arial" w:cs="Arial"/>
          <w:sz w:val="20"/>
          <w:szCs w:val="20"/>
        </w:rPr>
        <w:t>Al respecto, en similar sentido se ha pronunciado esta instancia en las Resoluciones</w:t>
      </w:r>
      <w:r w:rsidR="00627D7E" w:rsidRPr="00627D7E">
        <w:rPr>
          <w:rFonts w:ascii="Arial" w:hAnsi="Arial" w:cs="Arial"/>
          <w:sz w:val="20"/>
          <w:szCs w:val="20"/>
        </w:rPr>
        <w:t xml:space="preserve"> </w:t>
      </w:r>
      <w:r w:rsidRPr="00627D7E">
        <w:rPr>
          <w:rFonts w:ascii="Arial" w:hAnsi="Arial" w:cs="Arial"/>
          <w:sz w:val="20"/>
          <w:szCs w:val="20"/>
        </w:rPr>
        <w:t>N</w:t>
      </w:r>
      <w:r w:rsidR="00627D7E" w:rsidRPr="00627D7E">
        <w:rPr>
          <w:rFonts w:ascii="Arial" w:hAnsi="Arial" w:cs="Arial"/>
          <w:sz w:val="20"/>
          <w:szCs w:val="20"/>
        </w:rPr>
        <w:t>.</w:t>
      </w:r>
      <w:r w:rsidRPr="00627D7E">
        <w:rPr>
          <w:rFonts w:ascii="Arial" w:hAnsi="Arial" w:cs="Arial"/>
          <w:sz w:val="20"/>
          <w:szCs w:val="20"/>
        </w:rPr>
        <w:t>° 2902-2018-Sunarp-TR-L del 3/12/2018, N</w:t>
      </w:r>
      <w:r w:rsidR="00627D7E" w:rsidRPr="00627D7E">
        <w:rPr>
          <w:rFonts w:ascii="Arial" w:hAnsi="Arial" w:cs="Arial"/>
          <w:sz w:val="20"/>
          <w:szCs w:val="20"/>
        </w:rPr>
        <w:t>.</w:t>
      </w:r>
      <w:r w:rsidRPr="00627D7E">
        <w:rPr>
          <w:rFonts w:ascii="Arial" w:hAnsi="Arial" w:cs="Arial"/>
          <w:sz w:val="20"/>
          <w:szCs w:val="20"/>
        </w:rPr>
        <w:t>° 3001-2018-Sunarp-TR-L del</w:t>
      </w:r>
      <w:r w:rsidR="00627D7E" w:rsidRPr="00627D7E">
        <w:rPr>
          <w:rFonts w:ascii="Arial" w:hAnsi="Arial" w:cs="Arial"/>
          <w:sz w:val="20"/>
          <w:szCs w:val="20"/>
        </w:rPr>
        <w:t xml:space="preserve"> </w:t>
      </w:r>
      <w:r w:rsidRPr="00627D7E">
        <w:rPr>
          <w:rFonts w:ascii="Arial" w:hAnsi="Arial" w:cs="Arial"/>
          <w:sz w:val="20"/>
          <w:szCs w:val="20"/>
        </w:rPr>
        <w:t>13/12/2018, entre otras.</w:t>
      </w:r>
    </w:p>
    <w:p w:rsidR="00E97C89" w:rsidRPr="00E97C89" w:rsidRDefault="005D1D53" w:rsidP="00E97C89">
      <w:pPr>
        <w:jc w:val="center"/>
        <w:rPr>
          <w:rFonts w:ascii="Arial" w:hAnsi="Arial" w:cs="Arial"/>
          <w:sz w:val="20"/>
          <w:szCs w:val="20"/>
        </w:rPr>
      </w:pPr>
      <w:r w:rsidRPr="00E97C89">
        <w:rPr>
          <w:rFonts w:ascii="Arial" w:hAnsi="Arial" w:cs="Arial"/>
          <w:sz w:val="20"/>
          <w:szCs w:val="20"/>
        </w:rPr>
        <w:t>Documento</w:t>
      </w:r>
      <w:r w:rsidR="00C35AA6" w:rsidRPr="00E97C89">
        <w:rPr>
          <w:rFonts w:ascii="Arial" w:hAnsi="Arial" w:cs="Arial"/>
          <w:sz w:val="20"/>
          <w:szCs w:val="20"/>
        </w:rPr>
        <w:t xml:space="preserve"> </w:t>
      </w:r>
      <w:r w:rsidRPr="00E97C89">
        <w:rPr>
          <w:rFonts w:ascii="Arial" w:hAnsi="Arial" w:cs="Arial"/>
          <w:sz w:val="20"/>
          <w:szCs w:val="20"/>
        </w:rPr>
        <w:t>publicado</w:t>
      </w:r>
      <w:r w:rsidR="00C35AA6" w:rsidRPr="00E97C89">
        <w:rPr>
          <w:rFonts w:ascii="Arial" w:hAnsi="Arial" w:cs="Arial"/>
          <w:sz w:val="20"/>
          <w:szCs w:val="20"/>
        </w:rPr>
        <w:t xml:space="preserve"> </w:t>
      </w:r>
      <w:r w:rsidRPr="00E97C89">
        <w:rPr>
          <w:rFonts w:ascii="Arial" w:hAnsi="Arial" w:cs="Arial"/>
          <w:sz w:val="20"/>
          <w:szCs w:val="20"/>
        </w:rPr>
        <w:t>en</w:t>
      </w:r>
      <w:r w:rsidR="00C35AA6" w:rsidRPr="00E97C89">
        <w:rPr>
          <w:rFonts w:ascii="Arial" w:hAnsi="Arial" w:cs="Arial"/>
          <w:sz w:val="20"/>
          <w:szCs w:val="20"/>
        </w:rPr>
        <w:t xml:space="preserve"> </w:t>
      </w:r>
      <w:r w:rsidR="00E97C89" w:rsidRPr="00E97C89">
        <w:rPr>
          <w:rFonts w:ascii="Arial" w:hAnsi="Arial" w:cs="Arial"/>
          <w:sz w:val="20"/>
          <w:szCs w:val="20"/>
        </w:rPr>
        <w:t>la página web del Tribunal Registral</w:t>
      </w:r>
      <w:r w:rsidRPr="00E97C89">
        <w:rPr>
          <w:rFonts w:ascii="Arial" w:hAnsi="Arial" w:cs="Arial"/>
          <w:sz w:val="20"/>
          <w:szCs w:val="20"/>
        </w:rPr>
        <w:t>.</w:t>
      </w:r>
    </w:p>
    <w:sectPr w:rsidR="00E97C89" w:rsidRPr="00E97C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0CA" w:rsidRDefault="001A10CA" w:rsidP="005D1D53">
      <w:pPr>
        <w:spacing w:before="0"/>
      </w:pPr>
      <w:r>
        <w:separator/>
      </w:r>
    </w:p>
  </w:endnote>
  <w:endnote w:type="continuationSeparator" w:id="0">
    <w:p w:rsidR="001A10CA" w:rsidRDefault="001A10CA" w:rsidP="005D1D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Kozuka Gothic Pro E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6" w:rsidRPr="005D1D53" w:rsidRDefault="00621BD6" w:rsidP="005D1D53">
    <w:pPr>
      <w:pStyle w:val="Piedepgina"/>
      <w:tabs>
        <w:tab w:val="clear" w:pos="4252"/>
        <w:tab w:val="left" w:pos="2977"/>
      </w:tabs>
      <w:jc w:val="center"/>
      <w:rPr>
        <w:sz w:val="20"/>
        <w:szCs w:val="20"/>
      </w:rPr>
    </w:pPr>
    <w:r w:rsidRPr="005D1D53">
      <w:rPr>
        <w:rFonts w:ascii="Calibri" w:hAnsi="Calibri"/>
        <w:sz w:val="20"/>
        <w:szCs w:val="20"/>
      </w:rPr>
      <w:t>Un</w:t>
    </w:r>
    <w:r>
      <w:rPr>
        <w:rFonts w:ascii="Calibri" w:hAnsi="Calibri"/>
        <w:sz w:val="20"/>
        <w:szCs w:val="20"/>
      </w:rPr>
      <w:t xml:space="preserve"> </w:t>
    </w:r>
    <w:r w:rsidRPr="005D1D53">
      <w:rPr>
        <w:rFonts w:ascii="Calibri" w:hAnsi="Calibri"/>
        <w:sz w:val="20"/>
        <w:szCs w:val="20"/>
      </w:rPr>
      <w:t>desarrollo</w:t>
    </w:r>
    <w:r>
      <w:rPr>
        <w:rFonts w:ascii="Calibri" w:hAnsi="Calibri"/>
        <w:sz w:val="20"/>
        <w:szCs w:val="20"/>
      </w:rPr>
      <w:t xml:space="preserve"> </w:t>
    </w:r>
    <w:r w:rsidRPr="005D1D53">
      <w:rPr>
        <w:rFonts w:ascii="Calibri" w:hAnsi="Calibri"/>
        <w:sz w:val="20"/>
        <w:szCs w:val="20"/>
      </w:rPr>
      <w:t>especializado</w:t>
    </w:r>
    <w:r>
      <w:rPr>
        <w:rFonts w:ascii="Calibri" w:hAnsi="Calibri"/>
        <w:sz w:val="20"/>
        <w:szCs w:val="20"/>
      </w:rPr>
      <w:t xml:space="preserve"> </w:t>
    </w:r>
    <w:r w:rsidRPr="005D1D53">
      <w:rPr>
        <w:rFonts w:ascii="Calibri" w:hAnsi="Calibri"/>
        <w:sz w:val="20"/>
        <w:szCs w:val="20"/>
      </w:rPr>
      <w:t>de</w:t>
    </w:r>
    <w:r w:rsidRPr="005D1D53">
      <w:rPr>
        <w:rFonts w:ascii="Calibri" w:hAnsi="Calibri"/>
        <w:sz w:val="20"/>
        <w:szCs w:val="20"/>
      </w:rPr>
      <w:tab/>
    </w:r>
    <w:r w:rsidRPr="005D1D53">
      <w:rPr>
        <w:rFonts w:ascii="Calibri" w:hAnsi="Calibri"/>
        <w:noProof/>
        <w:sz w:val="20"/>
        <w:szCs w:val="20"/>
        <w:lang w:eastAsia="es-PE"/>
      </w:rPr>
      <w:drawing>
        <wp:inline distT="0" distB="0" distL="0" distR="0" wp14:anchorId="401692ED" wp14:editId="3D0F5907">
          <wp:extent cx="1278255"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255"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0CA" w:rsidRDefault="001A10CA" w:rsidP="005D1D53">
      <w:pPr>
        <w:spacing w:before="0"/>
      </w:pPr>
      <w:r>
        <w:separator/>
      </w:r>
    </w:p>
  </w:footnote>
  <w:footnote w:type="continuationSeparator" w:id="0">
    <w:p w:rsidR="001A10CA" w:rsidRDefault="001A10CA" w:rsidP="005D1D53">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BD6" w:rsidRPr="005D1D53" w:rsidRDefault="00621BD6" w:rsidP="005D1D53">
    <w:pPr>
      <w:pStyle w:val="Encabezado"/>
      <w:spacing w:after="240"/>
      <w:rPr>
        <w:sz w:val="20"/>
        <w:szCs w:val="20"/>
      </w:rPr>
    </w:pPr>
    <w:r w:rsidRPr="005D1D53">
      <w:rPr>
        <w:noProof/>
        <w:sz w:val="20"/>
        <w:szCs w:val="20"/>
        <w:lang w:eastAsia="es-PE"/>
      </w:rPr>
      <w:drawing>
        <wp:inline distT="0" distB="0" distL="0" distR="0" wp14:anchorId="79232292" wp14:editId="53F2340C">
          <wp:extent cx="1506855"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685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3853D"/>
    <w:multiLevelType w:val="hybridMultilevel"/>
    <w:tmpl w:val="21A113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970B707"/>
    <w:multiLevelType w:val="hybridMultilevel"/>
    <w:tmpl w:val="7EB4DB5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290B523"/>
    <w:multiLevelType w:val="hybridMultilevel"/>
    <w:tmpl w:val="FEF52B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53"/>
    <w:rsid w:val="000B6E70"/>
    <w:rsid w:val="00121C0E"/>
    <w:rsid w:val="001A10CA"/>
    <w:rsid w:val="001B6CC4"/>
    <w:rsid w:val="00207B9C"/>
    <w:rsid w:val="00271798"/>
    <w:rsid w:val="00391532"/>
    <w:rsid w:val="00530652"/>
    <w:rsid w:val="00531925"/>
    <w:rsid w:val="005457FB"/>
    <w:rsid w:val="005D1D53"/>
    <w:rsid w:val="00621BD6"/>
    <w:rsid w:val="00627D7E"/>
    <w:rsid w:val="006C114B"/>
    <w:rsid w:val="006E102F"/>
    <w:rsid w:val="00714180"/>
    <w:rsid w:val="007703CC"/>
    <w:rsid w:val="007C56D5"/>
    <w:rsid w:val="00894392"/>
    <w:rsid w:val="0090396B"/>
    <w:rsid w:val="00B973FB"/>
    <w:rsid w:val="00BA759E"/>
    <w:rsid w:val="00BF50BC"/>
    <w:rsid w:val="00C35AA6"/>
    <w:rsid w:val="00DD3B6C"/>
    <w:rsid w:val="00DE2009"/>
    <w:rsid w:val="00E07891"/>
    <w:rsid w:val="00E278EA"/>
    <w:rsid w:val="00E830CB"/>
    <w:rsid w:val="00E97C89"/>
    <w:rsid w:val="00F66969"/>
    <w:rsid w:val="00F703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pBdr>
        <w:top w:val="nil"/>
        <w:left w:val="nil"/>
        <w:bottom w:val="nil"/>
        <w:right w:val="nil"/>
        <w:between w:val="nil"/>
        <w:bar w:val="nil"/>
      </w:pBdr>
    </w:pPr>
  </w:style>
  <w:style w:type="paragraph" w:styleId="Ttulo1">
    <w:name w:val="heading 1"/>
    <w:basedOn w:val="Normal"/>
    <w:link w:val="Ttulo1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outlineLvl w:val="1"/>
    </w:pPr>
    <w:rPr>
      <w:rFonts w:ascii="Times New Roman" w:eastAsia="Times New Roman" w:hAnsi="Times New Roman" w:cs="Times New Roman"/>
      <w:b/>
      <w:bCs/>
      <w:sz w:val="36"/>
      <w:szCs w:val="36"/>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D53"/>
    <w:pPr>
      <w:tabs>
        <w:tab w:val="center" w:pos="4252"/>
        <w:tab w:val="right" w:pos="8504"/>
      </w:tabs>
      <w:spacing w:before="0"/>
    </w:pPr>
  </w:style>
  <w:style w:type="character" w:customStyle="1" w:styleId="EncabezadoCar">
    <w:name w:val="Encabezado Car"/>
    <w:basedOn w:val="Fuentedeprrafopredeter"/>
    <w:link w:val="Encabezado"/>
    <w:uiPriority w:val="99"/>
    <w:rsid w:val="005D1D53"/>
  </w:style>
  <w:style w:type="paragraph" w:styleId="Piedepgina">
    <w:name w:val="footer"/>
    <w:basedOn w:val="Normal"/>
    <w:link w:val="PiedepginaCar"/>
    <w:uiPriority w:val="99"/>
    <w:unhideWhenUsed/>
    <w:rsid w:val="005D1D53"/>
    <w:pPr>
      <w:tabs>
        <w:tab w:val="center" w:pos="4252"/>
        <w:tab w:val="right" w:pos="8504"/>
      </w:tabs>
      <w:spacing w:before="0"/>
    </w:pPr>
  </w:style>
  <w:style w:type="character" w:customStyle="1" w:styleId="PiedepginaCar">
    <w:name w:val="Pie de página Car"/>
    <w:basedOn w:val="Fuentedeprrafopredeter"/>
    <w:link w:val="Piedepgina"/>
    <w:uiPriority w:val="99"/>
    <w:rsid w:val="005D1D53"/>
  </w:style>
  <w:style w:type="paragraph" w:styleId="Textodeglobo">
    <w:name w:val="Balloon Text"/>
    <w:basedOn w:val="Normal"/>
    <w:link w:val="TextodegloboCar"/>
    <w:uiPriority w:val="99"/>
    <w:semiHidden/>
    <w:unhideWhenUsed/>
    <w:rsid w:val="005D1D53"/>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D53"/>
    <w:rPr>
      <w:rFonts w:ascii="Tahoma" w:hAnsi="Tahoma" w:cs="Tahoma"/>
      <w:sz w:val="16"/>
      <w:szCs w:val="16"/>
    </w:rPr>
  </w:style>
  <w:style w:type="table" w:styleId="Tablaconcuadrcula">
    <w:name w:val="Table Grid"/>
    <w:basedOn w:val="Tablanormal"/>
    <w:uiPriority w:val="59"/>
    <w:rsid w:val="00F7035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830CB"/>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830CB"/>
    <w:rPr>
      <w:rFonts w:ascii="Times New Roman" w:eastAsia="Times New Roman" w:hAnsi="Times New Roman" w:cs="Times New Roman"/>
      <w:b/>
      <w:bCs/>
      <w:sz w:val="36"/>
      <w:szCs w:val="36"/>
      <w:lang w:eastAsia="es-PE"/>
    </w:rPr>
  </w:style>
  <w:style w:type="paragraph" w:customStyle="1" w:styleId="cuerpo">
    <w:name w:val="cuerp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E830CB"/>
  </w:style>
  <w:style w:type="character" w:customStyle="1" w:styleId="no-style-override">
    <w:name w:val="no-style-override"/>
    <w:basedOn w:val="Fuentedeprrafopredeter"/>
    <w:rsid w:val="00E830CB"/>
  </w:style>
  <w:style w:type="character" w:customStyle="1" w:styleId="no-style-override-2">
    <w:name w:val="no-style-override-2"/>
    <w:basedOn w:val="Fuentedeprrafopredeter"/>
    <w:rsid w:val="00E830CB"/>
  </w:style>
  <w:style w:type="paragraph" w:customStyle="1" w:styleId="x-ning-n-estilo-de-p-rrafo-">
    <w:name w:val="x-ning-n-estilo-de-p-rrafo-"/>
    <w:basedOn w:val="Normal"/>
    <w:rsid w:val="00E830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ascii="Times New Roman" w:eastAsia="Times New Roman" w:hAnsi="Times New Roman" w:cs="Times New Roman"/>
      <w:sz w:val="24"/>
      <w:szCs w:val="24"/>
      <w:lang w:eastAsia="es-PE"/>
    </w:rPr>
  </w:style>
  <w:style w:type="character" w:customStyle="1" w:styleId="no-style-override-3">
    <w:name w:val="no-style-override-3"/>
    <w:basedOn w:val="Fuentedeprrafopredeter"/>
    <w:rsid w:val="00E830CB"/>
  </w:style>
  <w:style w:type="character" w:customStyle="1" w:styleId="no-style-override-4">
    <w:name w:val="no-style-override-4"/>
    <w:basedOn w:val="Fuentedeprrafopredeter"/>
    <w:rsid w:val="00E830CB"/>
  </w:style>
  <w:style w:type="paragraph" w:customStyle="1" w:styleId="Default">
    <w:name w:val="Default"/>
    <w:rsid w:val="00E97C89"/>
    <w:pPr>
      <w:autoSpaceDE w:val="0"/>
      <w:autoSpaceDN w:val="0"/>
      <w:adjustRightInd w:val="0"/>
      <w:spacing w:before="0"/>
      <w:jc w:val="left"/>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10</Pages>
  <Words>4357</Words>
  <Characters>23966</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13</cp:revision>
  <dcterms:created xsi:type="dcterms:W3CDTF">2024-03-14T19:30:00Z</dcterms:created>
  <dcterms:modified xsi:type="dcterms:W3CDTF">2024-03-19T15:20:00Z</dcterms:modified>
</cp:coreProperties>
</file>