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907CB" w14:textId="77777777" w:rsidR="00BB28B4" w:rsidRPr="00BB28B4" w:rsidRDefault="00BB28B4" w:rsidP="00AA56E3">
      <w:pPr>
        <w:spacing w:before="120"/>
        <w:jc w:val="center"/>
        <w:rPr>
          <w:rFonts w:cs="Arial"/>
          <w:b/>
          <w:bCs/>
          <w:sz w:val="24"/>
          <w:szCs w:val="15"/>
        </w:rPr>
      </w:pPr>
      <w:bookmarkStart w:id="0" w:name="_GoBack"/>
      <w:bookmarkEnd w:id="0"/>
      <w:r w:rsidRPr="00BB28B4">
        <w:rPr>
          <w:rFonts w:cs="Arial"/>
          <w:b/>
          <w:bCs/>
          <w:sz w:val="24"/>
          <w:szCs w:val="15"/>
        </w:rPr>
        <w:t>Casación N.° 21623-2022-Lima</w:t>
      </w:r>
    </w:p>
    <w:p w14:paraId="070FA158" w14:textId="4C2FED36" w:rsidR="00BB28B4" w:rsidRPr="00BB28B4" w:rsidRDefault="00AA56E3" w:rsidP="00AA56E3">
      <w:pPr>
        <w:spacing w:before="120"/>
        <w:rPr>
          <w:rFonts w:cs="Arial"/>
          <w:i/>
          <w:iCs/>
          <w:sz w:val="24"/>
          <w:szCs w:val="15"/>
        </w:rPr>
      </w:pPr>
      <w:r>
        <w:rPr>
          <w:rFonts w:cs="Arial"/>
          <w:b/>
          <w:bCs/>
          <w:i/>
          <w:iCs/>
          <w:sz w:val="24"/>
          <w:szCs w:val="15"/>
        </w:rPr>
        <w:t>Tema</w:t>
      </w:r>
      <w:r w:rsidR="00BB28B4" w:rsidRPr="00BB28B4">
        <w:rPr>
          <w:rFonts w:cs="Arial"/>
          <w:b/>
          <w:bCs/>
          <w:i/>
          <w:iCs/>
          <w:sz w:val="24"/>
          <w:szCs w:val="15"/>
        </w:rPr>
        <w:t xml:space="preserve">: </w:t>
      </w:r>
      <w:r w:rsidRPr="00BB28B4">
        <w:rPr>
          <w:rFonts w:cs="Arial"/>
          <w:i/>
          <w:iCs/>
          <w:sz w:val="24"/>
          <w:szCs w:val="15"/>
        </w:rPr>
        <w:t xml:space="preserve">debida </w:t>
      </w:r>
      <w:r w:rsidR="00BB28B4" w:rsidRPr="00BB28B4">
        <w:rPr>
          <w:rFonts w:cs="Arial"/>
          <w:i/>
          <w:iCs/>
          <w:sz w:val="24"/>
          <w:szCs w:val="15"/>
        </w:rPr>
        <w:t>motivación de las resoluciones.</w:t>
      </w:r>
    </w:p>
    <w:p w14:paraId="5D93F5A9" w14:textId="19E67909" w:rsidR="00BB28B4" w:rsidRPr="00BB28B4" w:rsidRDefault="00BB28B4" w:rsidP="00AA56E3">
      <w:pPr>
        <w:spacing w:before="120"/>
        <w:rPr>
          <w:rFonts w:cs="Arial"/>
          <w:i/>
          <w:iCs/>
          <w:sz w:val="24"/>
          <w:szCs w:val="15"/>
        </w:rPr>
      </w:pPr>
      <w:r w:rsidRPr="00BB28B4">
        <w:rPr>
          <w:rFonts w:cs="Arial"/>
          <w:b/>
          <w:bCs/>
          <w:i/>
          <w:iCs/>
          <w:sz w:val="24"/>
          <w:szCs w:val="15"/>
        </w:rPr>
        <w:t xml:space="preserve">Sumilla: </w:t>
      </w:r>
      <w:r w:rsidR="00AA56E3" w:rsidRPr="00BB28B4">
        <w:rPr>
          <w:rFonts w:cs="Arial"/>
          <w:i/>
          <w:iCs/>
          <w:sz w:val="24"/>
          <w:szCs w:val="15"/>
        </w:rPr>
        <w:t xml:space="preserve">de </w:t>
      </w:r>
      <w:r w:rsidRPr="00BB28B4">
        <w:rPr>
          <w:rFonts w:cs="Arial"/>
          <w:i/>
          <w:iCs/>
          <w:sz w:val="24"/>
          <w:szCs w:val="15"/>
        </w:rPr>
        <w:t>la revisión de los actuados, se advierte que el Colegiado Superior justificó los motivos de su decisión; por lo que, no se aprecia que la sentencia de vista haya vulnerado el principio de la debida motivación.</w:t>
      </w:r>
    </w:p>
    <w:p w14:paraId="6ECB6C19" w14:textId="5FD43910" w:rsidR="00BB28B4" w:rsidRPr="00BB28B4" w:rsidRDefault="00BB28B4" w:rsidP="00AA56E3">
      <w:pPr>
        <w:spacing w:before="120"/>
        <w:rPr>
          <w:rFonts w:cs="Arial"/>
          <w:i/>
          <w:iCs/>
          <w:sz w:val="24"/>
          <w:szCs w:val="15"/>
        </w:rPr>
      </w:pPr>
      <w:r w:rsidRPr="00BB28B4">
        <w:rPr>
          <w:rFonts w:cs="Arial"/>
          <w:b/>
          <w:bCs/>
          <w:i/>
          <w:iCs/>
          <w:sz w:val="24"/>
          <w:szCs w:val="15"/>
        </w:rPr>
        <w:t xml:space="preserve">Palabras clave: </w:t>
      </w:r>
      <w:r w:rsidR="00AA56E3" w:rsidRPr="00BB28B4">
        <w:rPr>
          <w:rFonts w:cs="Arial"/>
          <w:i/>
          <w:iCs/>
          <w:sz w:val="24"/>
          <w:szCs w:val="15"/>
        </w:rPr>
        <w:t>motivación</w:t>
      </w:r>
      <w:r w:rsidRPr="00BB28B4">
        <w:rPr>
          <w:rFonts w:cs="Arial"/>
          <w:i/>
          <w:iCs/>
          <w:sz w:val="24"/>
          <w:szCs w:val="15"/>
        </w:rPr>
        <w:t>, artículo 139 numeral 5) de la Constitución Política del Estado.</w:t>
      </w:r>
    </w:p>
    <w:p w14:paraId="778286DC" w14:textId="77777777" w:rsidR="00BB28B4" w:rsidRPr="00BB28B4" w:rsidRDefault="00BB28B4" w:rsidP="00AA56E3">
      <w:pPr>
        <w:spacing w:before="120"/>
        <w:rPr>
          <w:rFonts w:eastAsia="ArialMT" w:cs="Arial"/>
          <w:sz w:val="24"/>
          <w:szCs w:val="15"/>
        </w:rPr>
      </w:pPr>
      <w:r w:rsidRPr="00BB28B4">
        <w:rPr>
          <w:rFonts w:eastAsia="ArialMT" w:cs="Arial"/>
          <w:sz w:val="24"/>
          <w:szCs w:val="15"/>
        </w:rPr>
        <w:t>Lima, nueve de septiembre de dos mil veinticuatro.</w:t>
      </w:r>
    </w:p>
    <w:p w14:paraId="30217F6F" w14:textId="1A415431" w:rsidR="00BB28B4" w:rsidRPr="00BB28B4" w:rsidRDefault="00BB28B4" w:rsidP="00AA56E3">
      <w:pPr>
        <w:spacing w:before="120"/>
        <w:rPr>
          <w:rFonts w:eastAsia="ArialMT" w:cs="Arial"/>
          <w:sz w:val="24"/>
          <w:szCs w:val="15"/>
        </w:rPr>
      </w:pPr>
      <w:r w:rsidRPr="00BB28B4">
        <w:rPr>
          <w:rFonts w:cs="Arial"/>
          <w:b/>
          <w:bCs/>
          <w:sz w:val="24"/>
          <w:szCs w:val="15"/>
        </w:rPr>
        <w:t xml:space="preserve">La Quinta Sala de Derecho Constitucional y Social Transitoria de la Corte Suprema de Justicia de la República: Vista </w:t>
      </w:r>
      <w:r w:rsidRPr="00BB28B4">
        <w:rPr>
          <w:rFonts w:eastAsia="ArialMT" w:cs="Arial"/>
          <w:sz w:val="24"/>
          <w:szCs w:val="15"/>
        </w:rPr>
        <w:t xml:space="preserve">la causa; con el acompañado; en audiencia pública llevada a cabo en la fecha con los señores Jueces Supremos Proaño Cueva - Presidente, Vera Lazo, Pereira Alagón, Delgado Aybar y Gutiérrez Remón; luego de verificada la votación con arreglo a ley, se emite la siguiente sentencia: </w:t>
      </w:r>
      <w:r w:rsidRPr="00BB28B4">
        <w:rPr>
          <w:rFonts w:cs="Arial"/>
          <w:b/>
          <w:bCs/>
          <w:sz w:val="24"/>
          <w:szCs w:val="15"/>
        </w:rPr>
        <w:t xml:space="preserve">1. </w:t>
      </w:r>
      <w:r w:rsidRPr="00BB28B4">
        <w:rPr>
          <w:rFonts w:cs="Arial"/>
          <w:b/>
          <w:bCs/>
          <w:sz w:val="24"/>
          <w:szCs w:val="15"/>
          <w:u w:val="single"/>
        </w:rPr>
        <w:t>Recurso de casación</w:t>
      </w:r>
      <w:r w:rsidRPr="00BB28B4">
        <w:rPr>
          <w:rFonts w:cs="Arial"/>
          <w:b/>
          <w:bCs/>
          <w:sz w:val="24"/>
          <w:szCs w:val="15"/>
        </w:rPr>
        <w:t xml:space="preserve">: </w:t>
      </w:r>
      <w:r w:rsidRPr="00BB28B4">
        <w:rPr>
          <w:rFonts w:eastAsia="ArialMT" w:cs="Arial"/>
          <w:sz w:val="24"/>
          <w:szCs w:val="15"/>
        </w:rPr>
        <w:t xml:space="preserve">Se trata del recurso de casación interpuesto por la demandante, </w:t>
      </w:r>
      <w:r w:rsidRPr="00BB28B4">
        <w:rPr>
          <w:rFonts w:cs="Arial"/>
          <w:b/>
          <w:bCs/>
          <w:sz w:val="24"/>
          <w:szCs w:val="15"/>
        </w:rPr>
        <w:t>Southern Perú Copper Corporation Sucursal del Perú</w:t>
      </w:r>
      <w:r w:rsidRPr="00BB28B4">
        <w:rPr>
          <w:rFonts w:eastAsia="ArialMT" w:cs="Arial"/>
          <w:sz w:val="24"/>
          <w:szCs w:val="15"/>
        </w:rPr>
        <w:t xml:space="preserve">, mediante escrito de fecha veintidós de setiembre de dos mil veintiuno, que obra a fojas trescientos trece, contra la sentencia de vista contenida en la resolución número cuatro de fecha doce de julio de dos mil veintiuno, obrante a fojas doscientos sesenta y siete, emitida por la Segunda Sala Especializada en lo Contencioso Administrativo de la Corte Superior de Justicia de Lima, que resolvió </w:t>
      </w:r>
      <w:r w:rsidRPr="00BB28B4">
        <w:rPr>
          <w:rFonts w:cs="Arial"/>
          <w:b/>
          <w:bCs/>
          <w:sz w:val="24"/>
          <w:szCs w:val="15"/>
        </w:rPr>
        <w:t xml:space="preserve">confirmar </w:t>
      </w:r>
      <w:r w:rsidRPr="00BB28B4">
        <w:rPr>
          <w:rFonts w:eastAsia="ArialMT" w:cs="Arial"/>
          <w:sz w:val="24"/>
          <w:szCs w:val="15"/>
        </w:rPr>
        <w:t xml:space="preserve">la sentencia de primera instancia contenida en la resolución número seis, de fecha treinta de octubre de dos mil veinte, obrante a fojas doscientos seis, que declaró </w:t>
      </w:r>
      <w:r w:rsidRPr="00BB28B4">
        <w:rPr>
          <w:rFonts w:cs="Arial"/>
          <w:b/>
          <w:bCs/>
          <w:sz w:val="24"/>
          <w:szCs w:val="15"/>
        </w:rPr>
        <w:t xml:space="preserve">infundada </w:t>
      </w:r>
      <w:r w:rsidRPr="00BB28B4">
        <w:rPr>
          <w:rFonts w:eastAsia="ArialMT" w:cs="Arial"/>
          <w:sz w:val="24"/>
          <w:szCs w:val="15"/>
        </w:rPr>
        <w:t xml:space="preserve">la demanda. En los seguidos por la empresa recurrente contra el Organismo de Evaluación y Fiscalización Ambiental -OEFA-, sobre acción contenciosa administrativa. </w:t>
      </w:r>
      <w:r w:rsidRPr="00BB28B4">
        <w:rPr>
          <w:rFonts w:cs="Arial"/>
          <w:b/>
          <w:bCs/>
          <w:sz w:val="24"/>
          <w:szCs w:val="15"/>
        </w:rPr>
        <w:t xml:space="preserve">2. </w:t>
      </w:r>
      <w:r w:rsidRPr="00BB28B4">
        <w:rPr>
          <w:rFonts w:cs="Arial"/>
          <w:b/>
          <w:bCs/>
          <w:sz w:val="24"/>
          <w:szCs w:val="15"/>
          <w:u w:val="single"/>
        </w:rPr>
        <w:t>Causal del recurso</w:t>
      </w:r>
      <w:r w:rsidRPr="00BB28B4">
        <w:rPr>
          <w:rFonts w:cs="Arial"/>
          <w:b/>
          <w:bCs/>
          <w:sz w:val="24"/>
          <w:szCs w:val="15"/>
        </w:rPr>
        <w:t xml:space="preserve">: </w:t>
      </w:r>
      <w:r w:rsidRPr="00BB28B4">
        <w:rPr>
          <w:rFonts w:eastAsia="ArialMT" w:cs="Arial"/>
          <w:sz w:val="24"/>
          <w:szCs w:val="15"/>
        </w:rPr>
        <w:t xml:space="preserve">Mediante resolución suprema de fecha catorce de marzo de dos mil veinticuatro corrientes a fojas 41 Del cuaderno de casación formado en esta Suprema Corte, se declaró </w:t>
      </w:r>
      <w:r w:rsidRPr="00BB28B4">
        <w:rPr>
          <w:rFonts w:cs="Arial"/>
          <w:b/>
          <w:bCs/>
          <w:sz w:val="24"/>
          <w:szCs w:val="15"/>
        </w:rPr>
        <w:t xml:space="preserve">procedente </w:t>
      </w:r>
      <w:r w:rsidRPr="00BB28B4">
        <w:rPr>
          <w:rFonts w:eastAsia="ArialMT" w:cs="Arial"/>
          <w:sz w:val="24"/>
          <w:szCs w:val="15"/>
        </w:rPr>
        <w:t xml:space="preserve">el recurso de casación interpuesto por </w:t>
      </w:r>
      <w:r w:rsidRPr="00BB28B4">
        <w:rPr>
          <w:rFonts w:cs="Arial"/>
          <w:b/>
          <w:bCs/>
          <w:sz w:val="24"/>
          <w:szCs w:val="15"/>
        </w:rPr>
        <w:t>Southern Perú Copper Corporation Sucursal Perú</w:t>
      </w:r>
      <w:r w:rsidRPr="00BB28B4">
        <w:rPr>
          <w:rFonts w:eastAsia="ArialMT" w:cs="Arial"/>
          <w:sz w:val="24"/>
          <w:szCs w:val="15"/>
        </w:rPr>
        <w:t xml:space="preserve">, por la siguiente causal: </w:t>
      </w:r>
      <w:r w:rsidRPr="00BB28B4">
        <w:rPr>
          <w:rFonts w:cs="Arial"/>
          <w:b/>
          <w:bCs/>
          <w:sz w:val="24"/>
          <w:szCs w:val="15"/>
        </w:rPr>
        <w:t xml:space="preserve">Infracción normativa a las normas que garantizan el derecho a la debida </w:t>
      </w:r>
      <w:r w:rsidRPr="00BB28B4">
        <w:rPr>
          <w:rFonts w:cs="Arial"/>
          <w:b/>
          <w:bCs/>
          <w:sz w:val="24"/>
          <w:szCs w:val="15"/>
          <w:u w:val="single"/>
        </w:rPr>
        <w:t>motivación</w:t>
      </w:r>
      <w:r w:rsidRPr="00BB28B4">
        <w:rPr>
          <w:rFonts w:cs="Arial"/>
          <w:b/>
          <w:bCs/>
          <w:sz w:val="24"/>
          <w:szCs w:val="15"/>
        </w:rPr>
        <w:t xml:space="preserve"> de las resoluciones judiciales, artículo 139 inciso 5 de la Constitución Política del Perú, artículo 12 del Texto Único Ordenado de la Ley Orgánica del Poder Judicial y numerales 3 y 4 del artículo 122 del Código Procesal Civil. </w:t>
      </w:r>
      <w:r w:rsidRPr="00BB28B4">
        <w:rPr>
          <w:rFonts w:eastAsia="ArialMT" w:cs="Arial"/>
          <w:sz w:val="24"/>
          <w:szCs w:val="15"/>
        </w:rPr>
        <w:t>Sostiene que, se habría vulnerado el derecho a la debida motivación de las resoluciones judiciales por contener la resolución recurrida motivación inexistente, en relación con documentos presentados con el recurso de apelación y que resultaban claves para la controversia, ya qu</w:t>
      </w:r>
      <w:r w:rsidR="00AA56E3" w:rsidRPr="00BB28B4">
        <w:rPr>
          <w:rFonts w:eastAsia="ArialMT" w:cs="Arial"/>
          <w:sz w:val="24"/>
          <w:szCs w:val="15"/>
        </w:rPr>
        <w:t xml:space="preserve">e era medular que la sala superior examine los reportes </w:t>
      </w:r>
      <w:r w:rsidRPr="00BB28B4">
        <w:rPr>
          <w:rFonts w:eastAsia="ArialMT" w:cs="Arial"/>
          <w:sz w:val="24"/>
          <w:szCs w:val="15"/>
        </w:rPr>
        <w:t xml:space="preserve">periodísticos y fotografías presentadas conjuntamente con el recurso de apelación que acreditan el bloqueo de la vía férrea, lo que resultaba necesario </w:t>
      </w:r>
      <w:r w:rsidR="00AA56E3" w:rsidRPr="00BB28B4">
        <w:rPr>
          <w:rFonts w:eastAsia="ArialMT" w:cs="Arial"/>
          <w:sz w:val="24"/>
          <w:szCs w:val="15"/>
        </w:rPr>
        <w:t xml:space="preserve">porque la sala superior señaló que no se podía aplicar el eximente de </w:t>
      </w:r>
      <w:r w:rsidRPr="00BB28B4">
        <w:rPr>
          <w:rFonts w:eastAsia="ArialMT" w:cs="Arial"/>
          <w:sz w:val="24"/>
          <w:szCs w:val="15"/>
        </w:rPr>
        <w:t>responsabilidad por caso fortuito o fuerza mayor, debido a que no se habría acreditado el bloqueo de la vía férrea. Además, se debe apreciar que los documentos aportados constituyen reportes periodísticos y fotografías contenidas en diarios de circulación, por lo cual constituyen hechos de conocimiento público. Sin</w:t>
      </w:r>
      <w:r w:rsidR="00AA56E3" w:rsidRPr="00BB28B4">
        <w:rPr>
          <w:rFonts w:eastAsia="ArialMT" w:cs="Arial"/>
          <w:sz w:val="24"/>
          <w:szCs w:val="15"/>
        </w:rPr>
        <w:t xml:space="preserve"> embargo, la sala superior ni siquiera emitió </w:t>
      </w:r>
      <w:r w:rsidRPr="00BB28B4">
        <w:rPr>
          <w:rFonts w:eastAsia="ArialMT" w:cs="Arial"/>
          <w:sz w:val="24"/>
          <w:szCs w:val="15"/>
        </w:rPr>
        <w:lastRenderedPageBreak/>
        <w:t xml:space="preserve">consideración alguna dirigida a rechazar los medios de prueba, simplemente hizo como si no existieran, lo que constituye una flagrante vulneración al debido proceso. Asimismo, </w:t>
      </w:r>
      <w:r w:rsidR="00AA56E3" w:rsidRPr="00BB28B4">
        <w:rPr>
          <w:rFonts w:eastAsia="ArialMT" w:cs="Arial"/>
          <w:sz w:val="24"/>
          <w:szCs w:val="15"/>
        </w:rPr>
        <w:t>la sala superior guarda absoluto silencio sobre los motivos</w:t>
      </w:r>
      <w:r w:rsidRPr="00BB28B4">
        <w:rPr>
          <w:rFonts w:eastAsia="ArialMT" w:cs="Arial"/>
          <w:sz w:val="24"/>
          <w:szCs w:val="15"/>
        </w:rPr>
        <w:t xml:space="preserve"> que justificaron que la recurrente haya modificado temporalmente el procedimiento y transportar el mineral en camiones. Tanto en la demanda como en el recurso de apelación se explica que el capítulo 5 del PAMA estableció que la fundición debe mantener continuidad operativa a fin de evitar graves riesgos ambientales y de seguridad, siendo que una eventual paralización de operaciones propias de la fundición como consecuencia de una huelga ilegal (esto es, paralizando las labores del horno usado a tal efecto) podía ocasionar riesgos ambientales y de seguridad. </w:t>
      </w:r>
      <w:r w:rsidRPr="00BB28B4">
        <w:rPr>
          <w:rFonts w:eastAsia="ArialMT" w:cs="Arial"/>
          <w:b/>
          <w:bCs/>
          <w:sz w:val="24"/>
          <w:szCs w:val="15"/>
        </w:rPr>
        <w:t>3.</w:t>
      </w:r>
      <w:r w:rsidRPr="00BB28B4">
        <w:rPr>
          <w:rFonts w:eastAsia="ArialMT" w:cs="Arial"/>
          <w:sz w:val="24"/>
          <w:szCs w:val="15"/>
        </w:rPr>
        <w:t xml:space="preserve"> </w:t>
      </w:r>
      <w:r w:rsidRPr="00BB28B4">
        <w:rPr>
          <w:rFonts w:cs="Arial"/>
          <w:b/>
          <w:bCs/>
          <w:sz w:val="24"/>
          <w:szCs w:val="15"/>
          <w:u w:val="single"/>
        </w:rPr>
        <w:t>Considerando</w:t>
      </w:r>
      <w:r w:rsidRPr="00BB28B4">
        <w:rPr>
          <w:rFonts w:cs="Arial"/>
          <w:b/>
          <w:bCs/>
          <w:sz w:val="24"/>
          <w:szCs w:val="15"/>
        </w:rPr>
        <w:t xml:space="preserve">: </w:t>
      </w:r>
      <w:r w:rsidRPr="00BB28B4">
        <w:rPr>
          <w:rFonts w:eastAsia="ArialMT" w:cs="Arial"/>
          <w:sz w:val="24"/>
          <w:szCs w:val="15"/>
        </w:rPr>
        <w:t xml:space="preserve">Previo al análisis y evaluación de la causal expuesta en el recurso de casación, resulta menester realizar un breve recuento de los actuados tanto en sede administrativa como judicial. </w:t>
      </w:r>
      <w:r w:rsidRPr="00BB28B4">
        <w:rPr>
          <w:rFonts w:cs="Arial"/>
          <w:b/>
          <w:bCs/>
          <w:sz w:val="24"/>
          <w:szCs w:val="15"/>
        </w:rPr>
        <w:t xml:space="preserve">Antecedentes en el procedimiento administrativo: Primero: </w:t>
      </w:r>
      <w:r w:rsidRPr="00BB28B4">
        <w:rPr>
          <w:rFonts w:eastAsia="ArialMT" w:cs="Arial"/>
          <w:sz w:val="24"/>
          <w:szCs w:val="15"/>
        </w:rPr>
        <w:t xml:space="preserve">De la revisión de los actuados administrativos se aprecia que: </w:t>
      </w:r>
      <w:r w:rsidRPr="00BB28B4">
        <w:rPr>
          <w:rFonts w:cs="Arial"/>
          <w:b/>
          <w:bCs/>
          <w:sz w:val="24"/>
          <w:szCs w:val="15"/>
        </w:rPr>
        <w:t xml:space="preserve">1. </w:t>
      </w:r>
      <w:r w:rsidRPr="00BB28B4">
        <w:rPr>
          <w:rFonts w:eastAsia="ArialMT" w:cs="Arial"/>
          <w:sz w:val="24"/>
          <w:szCs w:val="15"/>
        </w:rPr>
        <w:t xml:space="preserve">La Dirección de Supervisión realizó una supervisión especial 2017 en las instalaciones de la unidad fiscalizable </w:t>
      </w:r>
      <w:r w:rsidR="00AA56E3">
        <w:rPr>
          <w:rFonts w:eastAsia="ArialMT" w:cs="Arial"/>
          <w:sz w:val="24"/>
          <w:szCs w:val="15"/>
        </w:rPr>
        <w:t>"</w:t>
      </w:r>
      <w:r w:rsidRPr="00BB28B4">
        <w:rPr>
          <w:rFonts w:eastAsia="ArialMT" w:cs="Arial"/>
          <w:sz w:val="24"/>
          <w:szCs w:val="15"/>
        </w:rPr>
        <w:t>Fundición y Refinería de Cobre de Ilo</w:t>
      </w:r>
      <w:r w:rsidR="00AA56E3">
        <w:rPr>
          <w:rFonts w:eastAsia="ArialMT" w:cs="Arial"/>
          <w:sz w:val="24"/>
          <w:szCs w:val="15"/>
        </w:rPr>
        <w:t>"</w:t>
      </w:r>
      <w:r w:rsidRPr="00BB28B4">
        <w:rPr>
          <w:rFonts w:eastAsia="ArialMT" w:cs="Arial"/>
          <w:sz w:val="24"/>
          <w:szCs w:val="15"/>
        </w:rPr>
        <w:t xml:space="preserve"> de titularidad de Southern Perú Copper Corporation Sucursal Perú, emitiendo el </w:t>
      </w:r>
      <w:r w:rsidRPr="00BB28B4">
        <w:rPr>
          <w:rFonts w:cs="Arial"/>
          <w:b/>
          <w:bCs/>
          <w:sz w:val="24"/>
          <w:szCs w:val="15"/>
        </w:rPr>
        <w:t>Informe de Supervisión N.° 0078-2018-OEFA/DSEM-CMIN</w:t>
      </w:r>
      <w:r w:rsidRPr="00BB28B4">
        <w:rPr>
          <w:rFonts w:eastAsia="ArialMT" w:cs="Arial"/>
          <w:sz w:val="24"/>
          <w:szCs w:val="15"/>
        </w:rPr>
        <w:t xml:space="preserve">, de fecha 06 de febrero de 2018, concluyendo que, en dicha supervisión, se verificó la actividad de transporte, almacenamiento y manejo de concentrados, además, de realizase muestreos de suelo; en consecuencia, un presunto incumplimiento el cual no habría sido subsanado por el titular minero, en atención a ello, se dispone el </w:t>
      </w:r>
      <w:r w:rsidRPr="00BB28B4">
        <w:rPr>
          <w:rFonts w:eastAsia="ArialMT" w:cs="Arial"/>
          <w:sz w:val="24"/>
          <w:szCs w:val="15"/>
          <w:u w:val="single"/>
        </w:rPr>
        <w:t>inicio de un proceso administrativo sancionador</w:t>
      </w:r>
      <w:r w:rsidRPr="00BB28B4">
        <w:rPr>
          <w:rFonts w:eastAsia="ArialMT" w:cs="Arial"/>
          <w:sz w:val="24"/>
          <w:szCs w:val="15"/>
        </w:rPr>
        <w:t xml:space="preserve">. </w:t>
      </w:r>
      <w:r w:rsidRPr="00BB28B4">
        <w:rPr>
          <w:rFonts w:cs="Arial"/>
          <w:b/>
          <w:bCs/>
          <w:sz w:val="24"/>
          <w:szCs w:val="15"/>
        </w:rPr>
        <w:t xml:space="preserve">2. </w:t>
      </w:r>
      <w:r w:rsidRPr="00BB28B4">
        <w:rPr>
          <w:rFonts w:eastAsia="ArialMT" w:cs="Arial"/>
          <w:sz w:val="24"/>
          <w:szCs w:val="15"/>
        </w:rPr>
        <w:t xml:space="preserve">Por </w:t>
      </w:r>
      <w:r w:rsidRPr="00BB28B4">
        <w:rPr>
          <w:rFonts w:cs="Arial"/>
          <w:b/>
          <w:bCs/>
          <w:sz w:val="24"/>
          <w:szCs w:val="15"/>
        </w:rPr>
        <w:t>Resolución Sub Directoral N.° 804-2018-OEFA/DFAI/SFEM</w:t>
      </w:r>
      <w:r w:rsidRPr="00BB28B4">
        <w:rPr>
          <w:rFonts w:eastAsia="ArialMT" w:cs="Arial"/>
          <w:sz w:val="24"/>
          <w:szCs w:val="15"/>
        </w:rPr>
        <w:t xml:space="preserve">, de fecha 28 de marzo de 2018, </w:t>
      </w:r>
      <w:r w:rsidRPr="00BB28B4">
        <w:rPr>
          <w:rFonts w:eastAsia="ArialMT" w:cs="Arial"/>
          <w:sz w:val="24"/>
          <w:szCs w:val="15"/>
          <w:u w:val="single"/>
        </w:rPr>
        <w:t>la administración inició el procedimiento administrativo sancionador</w:t>
      </w:r>
      <w:r w:rsidRPr="00BB28B4">
        <w:rPr>
          <w:rFonts w:eastAsia="ArialMT" w:cs="Arial"/>
          <w:sz w:val="24"/>
          <w:szCs w:val="15"/>
        </w:rPr>
        <w:t xml:space="preserve"> con el administrado, imputándole a título de cargo la presunta infracción contenida en la Tabla N.° 1 </w:t>
      </w:r>
      <w:r w:rsidR="00AA56E3">
        <w:rPr>
          <w:rFonts w:eastAsia="ArialMT" w:cs="Arial"/>
          <w:sz w:val="24"/>
          <w:szCs w:val="15"/>
        </w:rPr>
        <w:t>"</w:t>
      </w:r>
      <w:r w:rsidRPr="00BB28B4">
        <w:rPr>
          <w:rFonts w:eastAsia="ArialMT" w:cs="Arial"/>
          <w:sz w:val="24"/>
          <w:szCs w:val="15"/>
        </w:rPr>
        <w:t>incumplir lo establecido en los instrumentos de gestión ambiental aprobados, generando daño potencial a la flora y fauna</w:t>
      </w:r>
      <w:r w:rsidR="00AA56E3">
        <w:rPr>
          <w:rFonts w:eastAsia="ArialMT" w:cs="Arial"/>
          <w:sz w:val="24"/>
          <w:szCs w:val="15"/>
        </w:rPr>
        <w:t>"</w:t>
      </w:r>
      <w:r w:rsidRPr="00BB28B4">
        <w:rPr>
          <w:rFonts w:eastAsia="ArialMT" w:cs="Arial"/>
          <w:sz w:val="24"/>
          <w:szCs w:val="15"/>
        </w:rPr>
        <w:t xml:space="preserve">. </w:t>
      </w:r>
      <w:r w:rsidRPr="00BB28B4">
        <w:rPr>
          <w:rFonts w:cs="Arial"/>
          <w:b/>
          <w:bCs/>
          <w:sz w:val="24"/>
          <w:szCs w:val="15"/>
        </w:rPr>
        <w:t xml:space="preserve">3. </w:t>
      </w:r>
      <w:r w:rsidRPr="00BB28B4">
        <w:rPr>
          <w:rFonts w:eastAsia="ArialMT" w:cs="Arial"/>
          <w:sz w:val="24"/>
          <w:szCs w:val="15"/>
        </w:rPr>
        <w:t xml:space="preserve">La empresa administrada presentó su </w:t>
      </w:r>
      <w:r w:rsidRPr="00BB28B4">
        <w:rPr>
          <w:rFonts w:cs="Arial"/>
          <w:b/>
          <w:bCs/>
          <w:sz w:val="24"/>
          <w:szCs w:val="15"/>
        </w:rPr>
        <w:t xml:space="preserve">descargo </w:t>
      </w:r>
      <w:r w:rsidRPr="00BB28B4">
        <w:rPr>
          <w:rFonts w:eastAsia="ArialMT" w:cs="Arial"/>
          <w:sz w:val="24"/>
          <w:szCs w:val="15"/>
        </w:rPr>
        <w:t xml:space="preserve">con fecha 07 de mayo de 2018 a dicha resolución subdirectotal, es así que, la administración emitió el </w:t>
      </w:r>
      <w:r w:rsidRPr="00BB28B4">
        <w:rPr>
          <w:rFonts w:cs="Arial"/>
          <w:b/>
          <w:bCs/>
          <w:sz w:val="24"/>
          <w:szCs w:val="15"/>
        </w:rPr>
        <w:t>Informe Final N.° 1884-2018-OEFA/DFAI/SFEM</w:t>
      </w:r>
      <w:r w:rsidRPr="00BB28B4">
        <w:rPr>
          <w:rFonts w:eastAsia="ArialMT" w:cs="Arial"/>
          <w:sz w:val="24"/>
          <w:szCs w:val="15"/>
        </w:rPr>
        <w:t xml:space="preserve">, de fecha 26 de octubre de 2018, concluyendo y recomendando declarar la existencia de responsabilidad administrativa de la empresa administrada respecto de la presunta infracción indicada en el numeral 1 de la Tabla N.° 1 de la Resolución Sub Directoral N.° 804-2018-OEFA/DFAI/SFEM, además, de imponer la sanción de 4.38 UIT de multa. </w:t>
      </w:r>
      <w:r w:rsidRPr="00BB28B4">
        <w:rPr>
          <w:rFonts w:eastAsia="ArialMT" w:cs="Arial"/>
          <w:b/>
          <w:bCs/>
          <w:sz w:val="24"/>
          <w:szCs w:val="15"/>
        </w:rPr>
        <w:t xml:space="preserve">4. </w:t>
      </w:r>
      <w:r w:rsidRPr="00BB28B4">
        <w:rPr>
          <w:rFonts w:eastAsia="ArialMT" w:cs="Arial"/>
          <w:sz w:val="24"/>
          <w:szCs w:val="15"/>
        </w:rPr>
        <w:t xml:space="preserve">La empresa presentó su </w:t>
      </w:r>
      <w:r w:rsidRPr="00BB28B4">
        <w:rPr>
          <w:rFonts w:eastAsia="ArialMT" w:cs="Arial"/>
          <w:b/>
          <w:bCs/>
          <w:sz w:val="24"/>
          <w:szCs w:val="15"/>
        </w:rPr>
        <w:t xml:space="preserve">descargo </w:t>
      </w:r>
      <w:r w:rsidRPr="00BB28B4">
        <w:rPr>
          <w:rFonts w:eastAsia="ArialMT" w:cs="Arial"/>
          <w:sz w:val="24"/>
          <w:szCs w:val="15"/>
        </w:rPr>
        <w:t xml:space="preserve">con fecha 07 de diciembre de 2018 a dicha resolución final, es así que, la administración emitió el </w:t>
      </w:r>
      <w:r w:rsidRPr="00BB28B4">
        <w:rPr>
          <w:rFonts w:eastAsia="ArialMT" w:cs="Arial"/>
          <w:b/>
          <w:bCs/>
          <w:sz w:val="24"/>
          <w:szCs w:val="15"/>
        </w:rPr>
        <w:t>Informe Técnico N.° 1178-2018-OEFA/DFAI/SSAG</w:t>
      </w:r>
      <w:r w:rsidRPr="00BB28B4">
        <w:rPr>
          <w:rFonts w:eastAsia="ArialMT" w:cs="Arial"/>
          <w:sz w:val="24"/>
          <w:szCs w:val="15"/>
        </w:rPr>
        <w:t xml:space="preserve">, de fecha 31 de diciembre de 2018, concluyendo que la multa asciende a 4.52 UIT. </w:t>
      </w:r>
      <w:r w:rsidRPr="00BB28B4">
        <w:rPr>
          <w:rFonts w:eastAsia="ArialMT" w:cs="Arial"/>
          <w:b/>
          <w:bCs/>
          <w:sz w:val="24"/>
          <w:szCs w:val="15"/>
        </w:rPr>
        <w:t xml:space="preserve">5. </w:t>
      </w:r>
      <w:r w:rsidRPr="00BB28B4">
        <w:rPr>
          <w:rFonts w:eastAsia="ArialMT" w:cs="Arial"/>
          <w:sz w:val="24"/>
          <w:szCs w:val="15"/>
        </w:rPr>
        <w:t xml:space="preserve">Por </w:t>
      </w:r>
      <w:r w:rsidRPr="00BB28B4">
        <w:rPr>
          <w:rFonts w:eastAsia="ArialMT" w:cs="Arial"/>
          <w:b/>
          <w:bCs/>
          <w:sz w:val="24"/>
          <w:szCs w:val="15"/>
        </w:rPr>
        <w:t>Resolución Directoral N.° 001-2019-OEFA/DFAI</w:t>
      </w:r>
      <w:r w:rsidRPr="00BB28B4">
        <w:rPr>
          <w:rFonts w:eastAsia="ArialMT" w:cs="Arial"/>
          <w:sz w:val="24"/>
          <w:szCs w:val="15"/>
        </w:rPr>
        <w:t xml:space="preserve">, de fecha 03 de enero del 2019, la administración resolvió: Declarar la comisión de la infracción señalada en la Tabla N.° 1 de la Resolución Sub Directoral N.° 804-2018-OEFA/DFAI/SFEM y sancionar a la empresa con una multa de 4.52 UIT. </w:t>
      </w:r>
      <w:r w:rsidRPr="00BB28B4">
        <w:rPr>
          <w:rFonts w:eastAsia="ArialMT" w:cs="Arial"/>
          <w:b/>
          <w:bCs/>
          <w:sz w:val="24"/>
          <w:szCs w:val="15"/>
        </w:rPr>
        <w:t xml:space="preserve">6. </w:t>
      </w:r>
      <w:r w:rsidRPr="00BB28B4">
        <w:rPr>
          <w:rFonts w:eastAsia="ArialMT" w:cs="Arial"/>
          <w:sz w:val="24"/>
          <w:szCs w:val="15"/>
        </w:rPr>
        <w:t xml:space="preserve">La empresa administrada presenta recurso de </w:t>
      </w:r>
      <w:r w:rsidRPr="00BB28B4">
        <w:rPr>
          <w:rFonts w:eastAsia="ArialMT" w:cs="Arial"/>
          <w:b/>
          <w:bCs/>
          <w:sz w:val="24"/>
          <w:szCs w:val="15"/>
        </w:rPr>
        <w:t xml:space="preserve">apelación </w:t>
      </w:r>
      <w:r w:rsidRPr="00BB28B4">
        <w:rPr>
          <w:rFonts w:eastAsia="ArialMT" w:cs="Arial"/>
          <w:sz w:val="24"/>
          <w:szCs w:val="15"/>
        </w:rPr>
        <w:t xml:space="preserve">de fecha 28 de enero del 2019, señalando básicamente que, el área implementada sí contaba con certificación ambiental, además, que como consecuencia de una situación de caso fortuito o fuerza mayor (actos ilegales de bloqueos de la vía férrea) se vio obligada a realizar el transporte de </w:t>
      </w:r>
      <w:r w:rsidRPr="00BB28B4">
        <w:rPr>
          <w:rFonts w:eastAsia="ArialMT" w:cs="Arial"/>
          <w:sz w:val="24"/>
          <w:szCs w:val="15"/>
        </w:rPr>
        <w:lastRenderedPageBreak/>
        <w:t xml:space="preserve">concentrado de cobre por un medio de transporte distinto a aquel originalmente aprobado en el PAMA Ilo, existiendo una ruptura del nexo causal, por lo que, corresponde aplicar la causal de eximente de responsabilidad. </w:t>
      </w:r>
      <w:r w:rsidRPr="00BB28B4">
        <w:rPr>
          <w:rFonts w:eastAsia="ArialMT" w:cs="Arial"/>
          <w:b/>
          <w:bCs/>
          <w:sz w:val="24"/>
          <w:szCs w:val="15"/>
        </w:rPr>
        <w:t xml:space="preserve">7. </w:t>
      </w:r>
      <w:r w:rsidRPr="00BB28B4">
        <w:rPr>
          <w:rFonts w:eastAsia="ArialMT" w:cs="Arial"/>
          <w:sz w:val="24"/>
          <w:szCs w:val="15"/>
        </w:rPr>
        <w:t xml:space="preserve">Por </w:t>
      </w:r>
      <w:r w:rsidRPr="00BB28B4">
        <w:rPr>
          <w:rFonts w:eastAsia="ArialMT" w:cs="Arial"/>
          <w:b/>
          <w:bCs/>
          <w:sz w:val="24"/>
          <w:szCs w:val="15"/>
        </w:rPr>
        <w:t>Resolución N.° 284-2019-OEFA/TFA-SMEPIM</w:t>
      </w:r>
      <w:r w:rsidRPr="00BB28B4">
        <w:rPr>
          <w:rFonts w:eastAsia="ArialMT" w:cs="Arial"/>
          <w:sz w:val="24"/>
          <w:szCs w:val="15"/>
        </w:rPr>
        <w:t xml:space="preserve">, de fecha 07 de junio del 2019, la administración resolvió: </w:t>
      </w:r>
      <w:r w:rsidRPr="00BB28B4">
        <w:rPr>
          <w:rFonts w:eastAsia="ArialMT" w:cs="Arial"/>
          <w:sz w:val="24"/>
          <w:szCs w:val="15"/>
          <w:u w:val="single"/>
        </w:rPr>
        <w:t>Confirmar</w:t>
      </w:r>
      <w:r w:rsidRPr="00BB28B4">
        <w:rPr>
          <w:rFonts w:eastAsia="ArialMT" w:cs="Arial"/>
          <w:sz w:val="24"/>
          <w:szCs w:val="15"/>
        </w:rPr>
        <w:t xml:space="preserve"> la Resolución Directoral N.° 001-2019-OEFA/DFAI/PAS, quedando </w:t>
      </w:r>
      <w:r w:rsidRPr="00BB28B4">
        <w:rPr>
          <w:rFonts w:eastAsia="ArialMT" w:cs="Arial"/>
          <w:sz w:val="24"/>
          <w:szCs w:val="15"/>
          <w:u w:val="single"/>
        </w:rPr>
        <w:t>agotada la vía administrativa</w:t>
      </w:r>
      <w:r w:rsidRPr="00BB28B4">
        <w:rPr>
          <w:rFonts w:eastAsia="ArialMT" w:cs="Arial"/>
          <w:sz w:val="24"/>
          <w:szCs w:val="15"/>
        </w:rPr>
        <w:t xml:space="preserve">. Refiere que, de lo establecido en el PAMA Ilo, la empresa debía transportar los concentrados de cobre en tren, mediante vagones, desde sus concentradoras hasta la fundición, los mismos que debían ser descargados mediante un sistema de volteo; sin embargo, durante la supervisión especial 2017, se verificó que el administrado implementó un área denominada patio de maniobras coquina, en la que se realizaba el trasbordo de concentrados de cobre, mediante uso de excavadoras y plumas, de los vagones del tren a las tolvas de los camiones, para luego transportarlos hacia la zona de fundición. Situación que incumple los instrumentos de gestión ambiental, en la medida que dicha área no ha sido contemplada en los mismos y el transporte de concentrados de cobre de cobre debe realizarse únicamente mediante el uso de la vía férrea; contraviniendo el administrado el literal a) del artículo 18 del RPGAAEB, en concordancia con los artículos 18 y 24 de la LGA, el artículo 15 de la LSNEIA y el artículo 29 del RLSNEIA. El área denominada desvío Coquina (patio de maniobra) no se encuentra reconocido que se encuentre aprobada en el PAMA Ilo. Sobre el acto ilegal de la huelga y por la cual se habría bloqueado la vía férrea, señala que el artículo 18 de la LSNEFA establece que los administrados son responsables objetivamente por el incumplimiento de las obligaciones fiscalizables derivadas de los instrumentos de gestión ambiental; además, que no resulta admisible la implementación de un área no contemplada en su instrumento de gestión ambiental bajo la justificación de un presunto bloqueo de la línea férrea, lo que implicó incurrir en infracción administrativa, siendo así, el administrado tuvo dominio del hecho en la consumación de la conducta infractora, es así que, la implementación de área no contemplada en el PAMA Ilo no fue un hecho extraordinario, imprevisible ni irresistible para el administrado. </w:t>
      </w:r>
      <w:r w:rsidRPr="00BB28B4">
        <w:rPr>
          <w:rFonts w:eastAsia="ArialMT" w:cs="Arial"/>
          <w:b/>
          <w:bCs/>
          <w:sz w:val="24"/>
          <w:szCs w:val="15"/>
        </w:rPr>
        <w:t xml:space="preserve">Antecedentes en el proceso judicial: Segundo: Demanda, </w:t>
      </w:r>
      <w:r w:rsidRPr="00BB28B4">
        <w:rPr>
          <w:rFonts w:eastAsia="ArialMT" w:cs="Arial"/>
          <w:sz w:val="24"/>
          <w:szCs w:val="15"/>
        </w:rPr>
        <w:t xml:space="preserve">de fecha 13 de septiembre del 2019, la empresa demandante Southern Perú Copper Corporation Sucursal Perú, interpone demanda, solicitando, lo siguiente: </w:t>
      </w:r>
      <w:r w:rsidRPr="00BB28B4">
        <w:rPr>
          <w:rFonts w:eastAsia="ArialMT" w:cs="Arial"/>
          <w:sz w:val="24"/>
          <w:szCs w:val="15"/>
          <w:u w:val="single"/>
        </w:rPr>
        <w:t>Pretensión Principal</w:t>
      </w:r>
      <w:r w:rsidRPr="00BB28B4">
        <w:rPr>
          <w:rFonts w:eastAsia="ArialMT" w:cs="Arial"/>
          <w:sz w:val="24"/>
          <w:szCs w:val="15"/>
        </w:rPr>
        <w:t xml:space="preserve">: Se declare la nulidad total de la Resolución N.° 284-2019-OEFA/TFASMEPIN. </w:t>
      </w:r>
      <w:r w:rsidRPr="00BB28B4">
        <w:rPr>
          <w:rFonts w:eastAsia="ArialMT" w:cs="Arial"/>
          <w:sz w:val="24"/>
          <w:szCs w:val="15"/>
          <w:u w:val="single"/>
        </w:rPr>
        <w:t>Pretensión accesoria</w:t>
      </w:r>
      <w:r w:rsidRPr="00BB28B4">
        <w:rPr>
          <w:rFonts w:eastAsia="ArialMT" w:cs="Arial"/>
          <w:sz w:val="24"/>
          <w:szCs w:val="15"/>
        </w:rPr>
        <w:t xml:space="preserve">: Una vez declarada fundada la pretensión principal, solicitó que se declare la nulidad total de la Resolución N.° 001-2019-OEFA/DFAI emitida por la Dirección de Fiscalización y Aplicación de Incentivos. La parte demandante sustenta su pretensión en lo siguiente: </w:t>
      </w:r>
      <w:r w:rsidRPr="00BB28B4">
        <w:rPr>
          <w:rFonts w:eastAsia="ArialMT" w:cs="Arial"/>
          <w:b/>
          <w:bCs/>
          <w:sz w:val="24"/>
          <w:szCs w:val="15"/>
        </w:rPr>
        <w:t xml:space="preserve">a) </w:t>
      </w:r>
      <w:r w:rsidRPr="00BB28B4">
        <w:rPr>
          <w:rFonts w:eastAsia="ArialMT" w:cs="Arial"/>
          <w:sz w:val="24"/>
          <w:szCs w:val="15"/>
        </w:rPr>
        <w:t xml:space="preserve">La resolución es nula por incurrir en graves vulneraciones a los deberes de motivación de los actos administrativos, toda vez que la resolución emitida por el OEFA concluyó arbitrariamente que se habría implementado un área no comprendida en el Programa de Adecuación y Manejo Ambiental (PAMA) de la Fundición de Ilo para el transbordo de concentrados de cobre, sin embargo, llega a esta conclusión a partir de incurrir en graves arbitrariedades en su fundamentación, así como, en inconsistencias y vacíos que determinan un escenario claro de motivación indebida. </w:t>
      </w:r>
      <w:r w:rsidRPr="00BB28B4">
        <w:rPr>
          <w:rFonts w:eastAsia="ArialMT" w:cs="Arial"/>
          <w:b/>
          <w:bCs/>
          <w:sz w:val="24"/>
          <w:szCs w:val="15"/>
        </w:rPr>
        <w:t xml:space="preserve">b) </w:t>
      </w:r>
      <w:r w:rsidRPr="00BB28B4">
        <w:rPr>
          <w:rFonts w:eastAsia="ArialMT" w:cs="Arial"/>
          <w:sz w:val="24"/>
          <w:szCs w:val="15"/>
        </w:rPr>
        <w:t xml:space="preserve">Señala que, desde el inicio del procedimiento administrativo indicaron que la Planta Coquina sí estaba contemplada en el PAMA, así como, también lo estaba la Estación Coquina, </w:t>
      </w:r>
      <w:r w:rsidRPr="00BB28B4">
        <w:rPr>
          <w:rFonts w:eastAsia="ArialMT" w:cs="Arial"/>
          <w:sz w:val="24"/>
          <w:szCs w:val="15"/>
        </w:rPr>
        <w:lastRenderedPageBreak/>
        <w:t xml:space="preserve">como componente dentro de la Planta Coquina; al respecto OEFA fue incurriendo en contradicciones, en primer lugar, aceptó que tanto la Planta Coquina como la Estación Coquina estaban comprendidos en el PAMA, sin embargo, concluye que la zona supervisada no estaría contemplada dentro del PAMA, asimismo, el Tribunal del OEFA cambia lo dicho por las instancias inferiores, para colegir que el área no estaría comprendida dentro del PAMA, alegando que entre el área investigada y la Estación Coquina, habría 740 metros de distancia, por lo cual se trataría de áreas distintas. Por consiguiente, la resolución impugnada es nula al vulnerar los Principios del Debido Procedimiento, Tipicidad y Derecho de Defensa. </w:t>
      </w:r>
      <w:r w:rsidRPr="00BB28B4">
        <w:rPr>
          <w:rFonts w:eastAsia="ArialMT" w:cs="Arial"/>
          <w:b/>
          <w:bCs/>
          <w:sz w:val="24"/>
          <w:szCs w:val="15"/>
        </w:rPr>
        <w:t xml:space="preserve">c) </w:t>
      </w:r>
      <w:r w:rsidRPr="00BB28B4">
        <w:rPr>
          <w:rFonts w:eastAsia="ArialMT" w:cs="Arial"/>
          <w:sz w:val="24"/>
          <w:szCs w:val="15"/>
        </w:rPr>
        <w:t xml:space="preserve">En ese sentido, se contraviene el Principio de Tipicidad, tomando en cuenta que el OEFA ha intentado crear hechos que permitan subsumir el evento supervisado dentro de la conducta tipificada como infracción administrativa, pues señaló que el hecho por el cual se inició el procedimiento administrativo sancionador fue el siguiente: </w:t>
      </w:r>
      <w:r w:rsidR="00AA56E3">
        <w:rPr>
          <w:rFonts w:eastAsia="ArialMT" w:cs="Arial"/>
          <w:sz w:val="24"/>
          <w:szCs w:val="15"/>
        </w:rPr>
        <w:t>"</w:t>
      </w:r>
      <w:r w:rsidRPr="00BB28B4">
        <w:rPr>
          <w:rFonts w:eastAsia="ArialMT" w:cs="Arial"/>
          <w:sz w:val="24"/>
          <w:szCs w:val="15"/>
        </w:rPr>
        <w:t>el área implementada denominada «Patio de Maniobras Coquina» no ha sido evaluada ni aprobada por la autoridad certificadora</w:t>
      </w:r>
      <w:r w:rsidR="00AA56E3">
        <w:rPr>
          <w:rFonts w:eastAsia="ArialMT" w:cs="Arial"/>
          <w:sz w:val="24"/>
          <w:szCs w:val="15"/>
        </w:rPr>
        <w:t>"</w:t>
      </w:r>
      <w:r w:rsidRPr="00BB28B4">
        <w:rPr>
          <w:rFonts w:eastAsia="ArialMT" w:cs="Arial"/>
          <w:sz w:val="24"/>
          <w:szCs w:val="15"/>
        </w:rPr>
        <w:t xml:space="preserve">; por lo tanto, con independencia de la posible actividad ejecutada por la demandante en esa área, el incumplimiento fue implementar un área no considerada en el instrumento de gestión ambiental aplicable a las actividades de la empresa. Sin embargo, alega que la accionante no instaló un área denominada Desvío Coquina fuera de lo dispuesto en el PAMA, pues el área investigada ya se encontraba prevista en tal instrumento. </w:t>
      </w:r>
      <w:r w:rsidRPr="00BB28B4">
        <w:rPr>
          <w:rFonts w:eastAsia="ArialMT" w:cs="Arial"/>
          <w:b/>
          <w:bCs/>
          <w:sz w:val="24"/>
          <w:szCs w:val="15"/>
        </w:rPr>
        <w:t xml:space="preserve">d) </w:t>
      </w:r>
      <w:r w:rsidRPr="00BB28B4">
        <w:rPr>
          <w:rFonts w:eastAsia="ArialMT" w:cs="Arial"/>
          <w:sz w:val="24"/>
          <w:szCs w:val="15"/>
        </w:rPr>
        <w:t xml:space="preserve">Inicialmente el OEFA no cuestionó la ejecución de una actividad no contemplada en el PAMA, sino la instalación de un área no considerada en tal instrumento; sin embargo, luego en su decisión final el OEFA incluye, entre sus consideraciones, que la demandante realizó el transbordo de concentrado de cobre mediante el uso de excavadoras y plumas, éste hecho es una situación distinta a aquella por la cual se inició el procedimiento administrativo sancionador. Posteriormente, el OEFA regresó a su tesis original concluyendo que, entre la zona supervisada y la Estación Coquina, habría una distancia considerable que determinaría que se traten de zonas distintas; por tanto, sostiene que dicha carencia de claridad entre los hechos y las imputaciones supone una vulneración al Principio de Tipicidad, dejándola en una situación de indefensión, vulnerándose así su derecho al debido procedimiento, así como, su derecho de defensa. </w:t>
      </w:r>
      <w:r w:rsidRPr="00BB28B4">
        <w:rPr>
          <w:rFonts w:eastAsia="ArialMT" w:cs="Arial"/>
          <w:b/>
          <w:bCs/>
          <w:sz w:val="24"/>
          <w:szCs w:val="15"/>
        </w:rPr>
        <w:t xml:space="preserve">e) </w:t>
      </w:r>
      <w:r w:rsidRPr="00BB28B4">
        <w:rPr>
          <w:rFonts w:eastAsia="ArialMT" w:cs="Arial"/>
          <w:sz w:val="24"/>
          <w:szCs w:val="15"/>
        </w:rPr>
        <w:t xml:space="preserve">La resolución impugnada vulnera los Principios de Legalidad y Razonabilidad al rechazar la causal de fuerza mayor como eximente de responsabilidad. Al respecto, alega que, dentro del desarrollo normal de las operaciones de la empresa, el 21 de noviembre de 2017, un grupo de trabajadores de la empresa inició una huelga en el área ocupada por la vía férrea que transportaba el concentrado de mineral de las Unidades Operativas de Toquepala y Cuajone a la Fundición, ello bloqueó toda posibilidad de transportar el concentrado y alimentar la Fundición. </w:t>
      </w:r>
      <w:r w:rsidRPr="00BB28B4">
        <w:rPr>
          <w:rFonts w:eastAsia="ArialMT" w:cs="Arial"/>
          <w:b/>
          <w:bCs/>
          <w:sz w:val="24"/>
          <w:szCs w:val="15"/>
        </w:rPr>
        <w:t xml:space="preserve">f) </w:t>
      </w:r>
      <w:r w:rsidRPr="00BB28B4">
        <w:rPr>
          <w:rFonts w:eastAsia="ArialMT" w:cs="Arial"/>
          <w:sz w:val="24"/>
          <w:szCs w:val="15"/>
        </w:rPr>
        <w:t xml:space="preserve">El hecho que la huelga efectivamente se haya llevado a cabo representó una situación extraordinaria, irresistible e imprevisible para su empresa. Indica que la ilegal huelga buscaba entorpecer los trabajos que su representada venía realizando en la Fundición y Refinería; por ello, con la clara finalidad de impedirle transportar el concentrado de cobre a la Fundición, los huelguistas decidieron instalarse en el área correspondiente a la vía férrea que ingresa a la Fundición y a la línea férrea que ingresa a Patio Puerto, donde al inicio de la huelga se hacía el transbordo de concentrados a camiones en una </w:t>
      </w:r>
      <w:r w:rsidRPr="00BB28B4">
        <w:rPr>
          <w:rFonts w:eastAsia="ArialMT" w:cs="Arial"/>
          <w:sz w:val="24"/>
          <w:szCs w:val="15"/>
        </w:rPr>
        <w:lastRenderedPageBreak/>
        <w:t xml:space="preserve">facilidad especial para manejo de concentrados en esa área, que cuenta con las certificaciones y permisos correspondientes. Como consecuencia de ello, a la demandante </w:t>
      </w:r>
      <w:r w:rsidRPr="00BB28B4">
        <w:rPr>
          <w:rFonts w:eastAsia="ArialMT" w:cs="Arial"/>
          <w:sz w:val="24"/>
          <w:szCs w:val="15"/>
          <w:u w:val="single"/>
        </w:rPr>
        <w:t>le fue imposible completar el transporte</w:t>
      </w:r>
      <w:r w:rsidRPr="00BB28B4">
        <w:rPr>
          <w:rFonts w:eastAsia="ArialMT" w:cs="Arial"/>
          <w:sz w:val="24"/>
          <w:szCs w:val="15"/>
        </w:rPr>
        <w:t xml:space="preserve"> de concentrado de mineral de las Unidades Productivas de Toquepala y Cuajone a la Fundición a través de la línea férrea, por lo que, frente a dicha situación, no le quedó otra alternativa que buscar una forma de mantener la continuidad de sus operaciones, con la finalidad de evitar alguna falla en los componentes mineros. </w:t>
      </w:r>
      <w:r w:rsidRPr="00BB28B4">
        <w:rPr>
          <w:rFonts w:eastAsia="ArialMT" w:cs="Arial"/>
          <w:b/>
          <w:bCs/>
          <w:sz w:val="24"/>
          <w:szCs w:val="15"/>
        </w:rPr>
        <w:t xml:space="preserve">g) </w:t>
      </w:r>
      <w:r w:rsidRPr="00BB28B4">
        <w:rPr>
          <w:rFonts w:eastAsia="ArialMT" w:cs="Arial"/>
          <w:sz w:val="24"/>
          <w:szCs w:val="15"/>
        </w:rPr>
        <w:t xml:space="preserve">El único motivo concreto que plantea el OEFA para concluir que no podría beneficiarse de la eximente de responsabilidad es que no se habría acreditado específicamente el bloqueo de la vía férrea, incurriendo así en vulneración al Principio de Razonabilidad, al exigir medios de prueba absolutamente desproporcionados para el caso concreto. </w:t>
      </w:r>
      <w:r w:rsidRPr="00BB28B4">
        <w:rPr>
          <w:rFonts w:eastAsia="ArialMT" w:cs="Arial"/>
          <w:b/>
          <w:bCs/>
          <w:sz w:val="24"/>
          <w:szCs w:val="15"/>
        </w:rPr>
        <w:t xml:space="preserve">h) </w:t>
      </w:r>
      <w:r w:rsidRPr="00BB28B4">
        <w:rPr>
          <w:rFonts w:eastAsia="ArialMT" w:cs="Arial"/>
          <w:sz w:val="24"/>
          <w:szCs w:val="15"/>
        </w:rPr>
        <w:t xml:space="preserve">La resolución impugnada vulneró el Principio de Razonabilidad al no probar daño alguno derivado de las acciones imputadas; alega que el OEFA jamás probó la existencia o potencial existencia de un daño al ambiente, por lo tanto, no existe un respaldo para que se haya calificado la supuesta infracción como </w:t>
      </w:r>
      <w:r w:rsidR="00AA56E3">
        <w:rPr>
          <w:rFonts w:eastAsia="ArialMT" w:cs="Arial"/>
          <w:sz w:val="24"/>
          <w:szCs w:val="15"/>
        </w:rPr>
        <w:t>"</w:t>
      </w:r>
      <w:r w:rsidRPr="00BB28B4">
        <w:rPr>
          <w:rFonts w:eastAsia="ArialMT" w:cs="Arial"/>
          <w:sz w:val="24"/>
          <w:szCs w:val="15"/>
        </w:rPr>
        <w:t>grave</w:t>
      </w:r>
      <w:r w:rsidR="00AA56E3">
        <w:rPr>
          <w:rFonts w:eastAsia="ArialMT" w:cs="Arial"/>
          <w:sz w:val="24"/>
          <w:szCs w:val="15"/>
        </w:rPr>
        <w:t>"</w:t>
      </w:r>
      <w:r w:rsidRPr="00BB28B4">
        <w:rPr>
          <w:rFonts w:eastAsia="ArialMT" w:cs="Arial"/>
          <w:sz w:val="24"/>
          <w:szCs w:val="15"/>
        </w:rPr>
        <w:t>, ya que no se ha acreditado un daño efectivo ni potencial al ambiente</w:t>
      </w:r>
      <w:r w:rsidRPr="00BB28B4">
        <w:rPr>
          <w:rFonts w:eastAsia="ArialMT" w:cs="Arial"/>
          <w:b/>
          <w:bCs/>
          <w:sz w:val="24"/>
          <w:szCs w:val="15"/>
        </w:rPr>
        <w:t xml:space="preserve">. Tercero: Sentencia de primera instancia, </w:t>
      </w:r>
      <w:r w:rsidRPr="00BB28B4">
        <w:rPr>
          <w:rFonts w:eastAsia="ArialMT" w:cs="Arial"/>
          <w:sz w:val="24"/>
          <w:szCs w:val="15"/>
        </w:rPr>
        <w:t xml:space="preserve">emitida por el Octavo Juzgado Especializado en lo Contencioso Administrativo de la Corte Superior de Justicia de Lima, de fecha 30 de octubre de 2020, que declaró </w:t>
      </w:r>
      <w:r w:rsidRPr="00BB28B4">
        <w:rPr>
          <w:rFonts w:eastAsia="ArialMT" w:cs="Arial"/>
          <w:b/>
          <w:bCs/>
          <w:i/>
          <w:iCs/>
          <w:sz w:val="24"/>
          <w:szCs w:val="15"/>
        </w:rPr>
        <w:t xml:space="preserve">infundada </w:t>
      </w:r>
      <w:r w:rsidRPr="00BB28B4">
        <w:rPr>
          <w:rFonts w:eastAsia="ArialMT" w:cs="Arial"/>
          <w:sz w:val="24"/>
          <w:szCs w:val="15"/>
        </w:rPr>
        <w:t xml:space="preserve">la demanda. El Juzgado señala básicamente que: </w:t>
      </w:r>
      <w:r w:rsidR="00AA56E3">
        <w:rPr>
          <w:rFonts w:eastAsia="ArialMT" w:cs="Arial"/>
          <w:sz w:val="24"/>
          <w:szCs w:val="15"/>
        </w:rPr>
        <w:t>"</w:t>
      </w:r>
      <w:r w:rsidRPr="00BB28B4">
        <w:rPr>
          <w:rFonts w:eastAsia="ArialMT" w:cs="Arial"/>
          <w:sz w:val="24"/>
          <w:szCs w:val="15"/>
        </w:rPr>
        <w:t xml:space="preserve">... De la revisión de los antecedentes administrativos, se advierte que el respectivo procedimiento administrativo sancionador se sustentó en la Supervisión Especial realizada del 5 al 7 de diciembre de 2017 a la unidad fiscalizable </w:t>
      </w:r>
      <w:r w:rsidR="00AA56E3">
        <w:rPr>
          <w:rFonts w:eastAsia="ArialMT" w:cs="Arial"/>
          <w:sz w:val="24"/>
          <w:szCs w:val="15"/>
        </w:rPr>
        <w:t>"</w:t>
      </w:r>
      <w:r w:rsidRPr="00BB28B4">
        <w:rPr>
          <w:rFonts w:eastAsia="ArialMT" w:cs="Arial"/>
          <w:sz w:val="24"/>
          <w:szCs w:val="15"/>
        </w:rPr>
        <w:t xml:space="preserve">Fundición y Refinería de Cobre </w:t>
      </w:r>
      <w:r w:rsidR="00AA56E3">
        <w:rPr>
          <w:rFonts w:eastAsia="ArialMT" w:cs="Arial"/>
          <w:sz w:val="24"/>
          <w:szCs w:val="15"/>
        </w:rPr>
        <w:t>-</w:t>
      </w:r>
      <w:r w:rsidRPr="00BB28B4">
        <w:rPr>
          <w:rFonts w:eastAsia="ArialMT" w:cs="Arial"/>
          <w:sz w:val="24"/>
          <w:szCs w:val="15"/>
        </w:rPr>
        <w:t xml:space="preserve"> Ilo</w:t>
      </w:r>
      <w:r w:rsidR="00AA56E3">
        <w:rPr>
          <w:rFonts w:eastAsia="ArialMT" w:cs="Arial"/>
          <w:sz w:val="24"/>
          <w:szCs w:val="15"/>
        </w:rPr>
        <w:t>"</w:t>
      </w:r>
      <w:r w:rsidRPr="00BB28B4">
        <w:rPr>
          <w:rFonts w:eastAsia="ArialMT" w:cs="Arial"/>
          <w:sz w:val="24"/>
          <w:szCs w:val="15"/>
        </w:rPr>
        <w:t xml:space="preserve">, verificando que en las coordenadas UTM WGS Zona 19 252707 E, 8044701N, el titular minero implementó un área denominada </w:t>
      </w:r>
      <w:r w:rsidR="00AA56E3">
        <w:rPr>
          <w:rFonts w:eastAsia="ArialMT" w:cs="Arial"/>
          <w:sz w:val="24"/>
          <w:szCs w:val="15"/>
        </w:rPr>
        <w:t>"</w:t>
      </w:r>
      <w:r w:rsidRPr="00BB28B4">
        <w:rPr>
          <w:rFonts w:eastAsia="ArialMT" w:cs="Arial"/>
          <w:sz w:val="24"/>
          <w:szCs w:val="15"/>
        </w:rPr>
        <w:t>Patio de Maniobras Coquina</w:t>
      </w:r>
      <w:r w:rsidR="00AA56E3">
        <w:rPr>
          <w:rFonts w:eastAsia="ArialMT" w:cs="Arial"/>
          <w:sz w:val="24"/>
          <w:szCs w:val="15"/>
        </w:rPr>
        <w:t>"</w:t>
      </w:r>
      <w:r w:rsidRPr="00BB28B4">
        <w:rPr>
          <w:rFonts w:eastAsia="ArialMT" w:cs="Arial"/>
          <w:sz w:val="24"/>
          <w:szCs w:val="15"/>
        </w:rPr>
        <w:t xml:space="preserve"> (ubicada en las coordenadas UTM WGS 84 249648E, 8063685N), en la que se realizaba el transbordo de concentrados de cobre, mediante el uso de excavadoras y plumas, de los vagones a las tolvas de los camiones, para luego transportarlos hacia la zona de fundición. Ahora bien, dicha acción observada en la referida Supervisión Especial de </w:t>
      </w:r>
      <w:r w:rsidR="00AA56E3">
        <w:rPr>
          <w:rFonts w:eastAsia="ArialMT" w:cs="Arial"/>
          <w:sz w:val="24"/>
          <w:szCs w:val="15"/>
        </w:rPr>
        <w:t>"</w:t>
      </w:r>
      <w:r w:rsidRPr="00BB28B4">
        <w:rPr>
          <w:rFonts w:eastAsia="ArialMT" w:cs="Arial"/>
          <w:sz w:val="24"/>
          <w:szCs w:val="15"/>
        </w:rPr>
        <w:t xml:space="preserve">implementar un área denominada </w:t>
      </w:r>
      <w:r w:rsidR="00AA56E3">
        <w:rPr>
          <w:rFonts w:eastAsia="ArialMT" w:cs="Arial"/>
          <w:sz w:val="24"/>
          <w:szCs w:val="15"/>
        </w:rPr>
        <w:t>"</w:t>
      </w:r>
      <w:r w:rsidRPr="00BB28B4">
        <w:rPr>
          <w:rFonts w:eastAsia="ArialMT" w:cs="Arial"/>
          <w:sz w:val="24"/>
          <w:szCs w:val="15"/>
        </w:rPr>
        <w:t>Patio de Maniobras Coquina</w:t>
      </w:r>
      <w:r w:rsidR="00AA56E3">
        <w:rPr>
          <w:rFonts w:eastAsia="ArialMT" w:cs="Arial"/>
          <w:sz w:val="24"/>
          <w:szCs w:val="15"/>
        </w:rPr>
        <w:t>"</w:t>
      </w:r>
      <w:r w:rsidRPr="00BB28B4">
        <w:rPr>
          <w:rFonts w:eastAsia="ArialMT" w:cs="Arial"/>
          <w:sz w:val="24"/>
          <w:szCs w:val="15"/>
        </w:rPr>
        <w:t xml:space="preserve">, para actividades que no se encontraban aprobadas en el respectivo PAMA, fue materia de sanción por Resolución Directoral N.° 001-2019-OEFA/DFAI de fecha tres de enero de dos mil diecinueve; por tanto, se desprende que no existe contradicción en la determinación de la conducta infractora, pues la que fue materia de sanción fue la misma conducta que se le atribuyó a la accionante por Resolución Sub Directoral N.° 804-OEFA/DFAI/SFEM, por lo que no se advierte que sobre ello exista una indebida motivación en los actos impugnados ... Con relación al argumento de que el OEFA aceptó en el procedimiento administrativo sancionador, que tanto la Planta Coquina como la Estación Coquina estaban comprendidos en el PAMA. Al respecto, cabe mencionar que la administración demandada en el Informe de Instrucción N.° 1884-2018-OEFA/DFAI/SFEM/DFAI, que obra de fojas cincuenta y ocho a setenta del expediente administrativo, reconoce en su Fundamento 15 a la </w:t>
      </w:r>
      <w:r w:rsidR="00AA56E3">
        <w:rPr>
          <w:rFonts w:eastAsia="ArialMT" w:cs="Arial"/>
          <w:sz w:val="24"/>
          <w:szCs w:val="15"/>
        </w:rPr>
        <w:t>"</w:t>
      </w:r>
      <w:r w:rsidRPr="00BB28B4">
        <w:rPr>
          <w:rFonts w:eastAsia="ArialMT" w:cs="Arial"/>
          <w:sz w:val="24"/>
          <w:szCs w:val="15"/>
        </w:rPr>
        <w:t>Estación de Cargío por Línea Férrea</w:t>
      </w:r>
      <w:r w:rsidR="00AA56E3">
        <w:rPr>
          <w:rFonts w:eastAsia="ArialMT" w:cs="Arial"/>
          <w:sz w:val="24"/>
          <w:szCs w:val="15"/>
        </w:rPr>
        <w:t>"</w:t>
      </w:r>
      <w:r w:rsidRPr="00BB28B4">
        <w:rPr>
          <w:rFonts w:eastAsia="ArialMT" w:cs="Arial"/>
          <w:sz w:val="24"/>
          <w:szCs w:val="15"/>
        </w:rPr>
        <w:t xml:space="preserve"> como contemplada en el PAMA, más no reconoce al área denominada </w:t>
      </w:r>
      <w:r w:rsidR="00AA56E3">
        <w:rPr>
          <w:rFonts w:eastAsia="ArialMT" w:cs="Arial"/>
          <w:sz w:val="24"/>
          <w:szCs w:val="15"/>
        </w:rPr>
        <w:t>"</w:t>
      </w:r>
      <w:r w:rsidRPr="00BB28B4">
        <w:rPr>
          <w:rFonts w:eastAsia="ArialMT" w:cs="Arial"/>
          <w:sz w:val="24"/>
          <w:szCs w:val="15"/>
        </w:rPr>
        <w:t>Patio de Maniobras Coquina</w:t>
      </w:r>
      <w:r w:rsidR="00AA56E3">
        <w:rPr>
          <w:rFonts w:eastAsia="ArialMT" w:cs="Arial"/>
          <w:sz w:val="24"/>
          <w:szCs w:val="15"/>
        </w:rPr>
        <w:t>"</w:t>
      </w:r>
      <w:r w:rsidRPr="00BB28B4">
        <w:rPr>
          <w:rFonts w:eastAsia="ArialMT" w:cs="Arial"/>
          <w:sz w:val="24"/>
          <w:szCs w:val="15"/>
        </w:rPr>
        <w:t xml:space="preserve"> ... al implementarse el área denominada </w:t>
      </w:r>
      <w:r w:rsidR="00AA56E3">
        <w:rPr>
          <w:rFonts w:eastAsia="ArialMT" w:cs="Arial"/>
          <w:sz w:val="24"/>
          <w:szCs w:val="15"/>
        </w:rPr>
        <w:t>"</w:t>
      </w:r>
      <w:r w:rsidRPr="00BB28B4">
        <w:rPr>
          <w:rFonts w:eastAsia="ArialMT" w:cs="Arial"/>
          <w:sz w:val="24"/>
          <w:szCs w:val="15"/>
        </w:rPr>
        <w:t>Patio de Maniobras Coquina</w:t>
      </w:r>
      <w:r w:rsidR="00AA56E3">
        <w:rPr>
          <w:rFonts w:eastAsia="ArialMT" w:cs="Arial"/>
          <w:sz w:val="24"/>
          <w:szCs w:val="15"/>
        </w:rPr>
        <w:t>"</w:t>
      </w:r>
      <w:r w:rsidRPr="00BB28B4">
        <w:rPr>
          <w:rFonts w:eastAsia="ArialMT" w:cs="Arial"/>
          <w:sz w:val="24"/>
          <w:szCs w:val="15"/>
        </w:rPr>
        <w:t xml:space="preserve"> el titular minero no cumple con el Programa de Adecuación y Manejo Ambiental -PAMA Ilo, pues con la implementación de dicha área se realizaron </w:t>
      </w:r>
      <w:r w:rsidRPr="00BB28B4">
        <w:rPr>
          <w:rFonts w:eastAsia="ArialMT" w:cs="Arial"/>
          <w:sz w:val="24"/>
          <w:szCs w:val="15"/>
        </w:rPr>
        <w:lastRenderedPageBreak/>
        <w:t xml:space="preserve">actividades mineras que no estaban aprobadas en sus documentos de gestión para la Planta de Procesamiento de Coquina, poniendo así en peligro la sostenibilidad del medio ambiente ... Con relación al argumento de que ... un grupo de trabajadores de la empresa inició una huelga, bloqueando la vía férrea que transportaba el concentrado de mineral de las Unidades Operativas de Toquepala y Cuajone a la Fundición, por lo que frente a dicha situación no le quedó otra alternativa que buscar una forma de mantener la continuidad de sus operaciones con la finalidad de evitar alguna falla en los componentes mineros; por lo que considera que la huelga en mención constituye una situación extraordinaria, irresistible e imprevisible para su empresa. Al respecto, cabe señalar que la conducta infractora está relacionada a que la demandante implementó un área (Patio de Maniobras Coquina) que no estaba considerada en el PAMA para actividades mineras que tampoco estaban consideradas en dicho documento para la Planta de Procesamiento Coquina; en ese sentido, la huelga descrita por la recurrente no resulta idónea a efectos de pretender eximirse de la responsabilidad por la acción de </w:t>
      </w:r>
      <w:r w:rsidR="00AA56E3">
        <w:rPr>
          <w:rFonts w:eastAsia="ArialMT" w:cs="Arial"/>
          <w:sz w:val="24"/>
          <w:szCs w:val="15"/>
        </w:rPr>
        <w:t>"</w:t>
      </w:r>
      <w:r w:rsidRPr="00BB28B4">
        <w:rPr>
          <w:rFonts w:eastAsia="ArialMT" w:cs="Arial"/>
          <w:sz w:val="24"/>
          <w:szCs w:val="15"/>
        </w:rPr>
        <w:t>implementar</w:t>
      </w:r>
      <w:r w:rsidR="00AA56E3">
        <w:rPr>
          <w:rFonts w:eastAsia="ArialMT" w:cs="Arial"/>
          <w:sz w:val="24"/>
          <w:szCs w:val="15"/>
        </w:rPr>
        <w:t>"</w:t>
      </w:r>
      <w:r w:rsidRPr="00BB28B4">
        <w:rPr>
          <w:rFonts w:eastAsia="ArialMT" w:cs="Arial"/>
          <w:sz w:val="24"/>
          <w:szCs w:val="15"/>
        </w:rPr>
        <w:t xml:space="preserve">. Sin perjuicio de ello, atendiendo que dicha acción de acuerdo a lo alegado por la accionante, fue una acción provisional adoptada para el transporte minero, considerando el bloqueo de la línea férrea por los huelguistas, acorde a lo manifestado por la autoridad administrativa, se concluye que la demandante no ha acreditado el bloqueo de la línea férrea, por ende, lo alegado no justifica que se haya implementado el área antes señalada en la que se verificó que se realizaba el transbordo de concentrados de cobre mediante el uso de excavadoras y plumas, de los vagones del tren a las tolvas de los camiones para luego transportarlos hacia la zona de fundición. Siendo ello así, no resulta amparable lo alegado por la demandante en éste extremo ... considerando que la demandante implementó un área no contemplada para realizar transbordo de concentrado de cobre, ello puede generar posibles efectos nocivos al ambiente, toda vez que al contener arsénico, éste puede afectar la flora y fauna, por lo que se desprende un daño potencial; más aún si se tiene en cuenta los hechos contenidos en el Informe de Supervisión N.° 078-2018-OEFA/DSEM/CMIN, que indica que </w:t>
      </w:r>
      <w:r w:rsidR="00AA56E3">
        <w:rPr>
          <w:rFonts w:eastAsia="ArialMT" w:cs="Arial"/>
          <w:sz w:val="24"/>
          <w:szCs w:val="15"/>
        </w:rPr>
        <w:t>"</w:t>
      </w:r>
      <w:r w:rsidRPr="00BB28B4">
        <w:rPr>
          <w:rFonts w:eastAsia="ArialMT" w:cs="Arial"/>
          <w:sz w:val="24"/>
          <w:szCs w:val="15"/>
        </w:rPr>
        <w:t>los camiones tráiler (cargados con concentrados) se dirigían a la fundición utilizando la vía pública, sin realizar previamente la limpieza de las llantas ni de las carrocería que tenía contacto con el concentrado de cobre, pues según lo señalado en dicha Supervisión no se constató la existencia de un sistema de limpieza y lavado de llantas</w:t>
      </w:r>
      <w:r w:rsidR="00AA56E3">
        <w:rPr>
          <w:rFonts w:eastAsia="ArialMT" w:cs="Arial"/>
          <w:sz w:val="24"/>
          <w:szCs w:val="15"/>
        </w:rPr>
        <w:t>"</w:t>
      </w:r>
      <w:r w:rsidRPr="00BB28B4">
        <w:rPr>
          <w:rFonts w:eastAsia="ArialMT" w:cs="Arial"/>
          <w:sz w:val="24"/>
          <w:szCs w:val="15"/>
        </w:rPr>
        <w:t xml:space="preserve">. Consecuentemente, no se advierte vulneración al principio invocado [razonabilidad] ... </w:t>
      </w:r>
      <w:r w:rsidR="00AA56E3">
        <w:rPr>
          <w:rFonts w:eastAsia="ArialMT" w:cs="Arial"/>
          <w:sz w:val="24"/>
          <w:szCs w:val="15"/>
        </w:rPr>
        <w:t>"</w:t>
      </w:r>
      <w:r w:rsidRPr="00BB28B4">
        <w:rPr>
          <w:rFonts w:eastAsia="ArialMT" w:cs="Arial"/>
          <w:b/>
          <w:bCs/>
          <w:sz w:val="24"/>
          <w:szCs w:val="15"/>
        </w:rPr>
        <w:t xml:space="preserve">. Cuarto: Sentencia de vista, </w:t>
      </w:r>
      <w:r w:rsidRPr="00BB28B4">
        <w:rPr>
          <w:rFonts w:eastAsia="ArialMT" w:cs="Arial"/>
          <w:sz w:val="24"/>
          <w:szCs w:val="15"/>
        </w:rPr>
        <w:t xml:space="preserve">emitida por la Segunda Sala Especializada en lo Contencioso Administrativo de la Corte Superior de Justicia de Lima, de fecha 12 de julio de 2021, que </w:t>
      </w:r>
      <w:r w:rsidRPr="00BB28B4">
        <w:rPr>
          <w:rFonts w:eastAsia="ArialMT" w:cs="Arial"/>
          <w:b/>
          <w:bCs/>
          <w:sz w:val="24"/>
          <w:szCs w:val="15"/>
        </w:rPr>
        <w:t xml:space="preserve">confirmó </w:t>
      </w:r>
      <w:r w:rsidRPr="00BB28B4">
        <w:rPr>
          <w:rFonts w:eastAsia="ArialMT" w:cs="Arial"/>
          <w:sz w:val="24"/>
          <w:szCs w:val="15"/>
        </w:rPr>
        <w:t xml:space="preserve">la sentencia apelada que declaró infundada la demanda. El </w:t>
      </w:r>
      <w:r w:rsidR="00AA56E3" w:rsidRPr="00BB28B4">
        <w:rPr>
          <w:rFonts w:eastAsia="ArialMT" w:cs="Arial"/>
          <w:sz w:val="24"/>
          <w:szCs w:val="15"/>
        </w:rPr>
        <w:t xml:space="preserve">colegiado superior </w:t>
      </w:r>
      <w:r w:rsidRPr="00BB28B4">
        <w:rPr>
          <w:rFonts w:eastAsia="ArialMT" w:cs="Arial"/>
          <w:sz w:val="24"/>
          <w:szCs w:val="15"/>
        </w:rPr>
        <w:t xml:space="preserve">señala en esencia que: </w:t>
      </w:r>
      <w:r w:rsidR="00AA56E3">
        <w:rPr>
          <w:rFonts w:eastAsia="ArialMT" w:cs="Arial"/>
          <w:sz w:val="24"/>
          <w:szCs w:val="15"/>
        </w:rPr>
        <w:t>"</w:t>
      </w:r>
      <w:r w:rsidRPr="00BB28B4">
        <w:rPr>
          <w:rFonts w:eastAsia="ArialMT" w:cs="Arial"/>
          <w:sz w:val="24"/>
          <w:szCs w:val="15"/>
        </w:rPr>
        <w:t xml:space="preserve">... se verificó que, en las coordenadas UTM WGS Zona 19 252707 E, 8044701 N se implementó un área que se ubicaba en las coordenadas UTM WGS 84 249648E, 8063685N, zona de la fundición - Camas de concentrado, en la que se realizaba el trasbordo de concentrados de cobre, mediante el uso de excavadoras y plumas, de los vagones del tren a las tolvas de los camiones (no negado por la demandante), para luego transportarlos hacia la zona de fundición, área denominada Desvío Coquina (Patio de Maniobras) para el transbordo de concentrados de cobre; cuando el Plan de manejo ambiental preveía que, el transporte de </w:t>
      </w:r>
      <w:r w:rsidRPr="00BB28B4">
        <w:rPr>
          <w:rFonts w:eastAsia="ArialMT" w:cs="Arial"/>
          <w:sz w:val="24"/>
          <w:szCs w:val="15"/>
        </w:rPr>
        <w:lastRenderedPageBreak/>
        <w:t xml:space="preserve">concentrados de cobre se realizara únicamente mediante el uso de la vía férrea con actividades referidas a la manipulación de conchuela10 y no de concentrado de cobre11; toda vez que, como se observa ambos son de diferentes características. Por tanto, la empresa demandante modificó la actividad, además de haber implementado un área para ello, la cual no estaba contemplada en el Plan de Manejo Ambiental ... Sin embargo, tal como se ha podido determinar, la demandante contravino el Plan de Manejo Ambiental antes mencionado; toda vez que, en él el traslado de cobre en camiones, conforme lo descrito, no se encontraba aprobado; lo que fue constatado por los funcionarios públicos, supervisores del OEFA, quienes con la condición de autoridad supervisora plasmaron lo observado en el Informe de Supervisión; documento premunido de la presunción de validez con la cuentan todos los actos de la administración ... Siendo el caso que, el artículo 18 de la Ley N.° 29325 establece que los administrados son responsables objetivamente por el incumplimiento de las obligaciones fiscalizables derivadas de los instrumentos de gestión ambiental, normas ambientales; así como, de mandatos o disposiciones emitidas por el OEFA ... señala la apelante que, respecto a la infracción imputada, debe tomarse en cuenta que, la empresa se vio obligada a realizar el transporte de concentrado de cobre por un medio de transporte distinto a aquel originalmente aprobado en el Programa de Manejo Ambiental, debido a la realización de una huelga que acarreó bloqueos de la vía férrea, y que dicha huelga fue declarada ilegal ... ninguno de tales documentos demostró que se haya producido el alegado bloqueo de la línea férrea, no acreditando la existencia de un evento de caso fortuito, fuerza mayor o hecho determinante de tercero, que haya dado origen a la infracción materia de análisis, consistente en implementar un área para el transbordo de concentrados de cobre; volviéndose a concluir que, la implementación de dicha área infringiendo el Plan Ambiental, no tenía justificación legal. No habiendo tampoco nexo causal, ya que la empresa demandante, debía tener un actuar diligente en su calidad de titular de una licencia de operación para realizar actividades mineras, teniendo la obligación de cumplir con la normativa vigente, siendo conocedora de las normas que regulan su actividad, como de las obligaciones ambientales fiscalizables a su cargo, además del conocimiento de las características propias de la actividad minera en el país y las actuaciones que deben producirse en el mismo, situación que se encontraba dentro de su esfera de dominio y control ... no se advierte que se haya vulnerado el principio de razonabilidad al calificar como </w:t>
      </w:r>
      <w:r w:rsidR="00AA56E3">
        <w:rPr>
          <w:rFonts w:eastAsia="ArialMT" w:cs="Arial"/>
          <w:sz w:val="24"/>
          <w:szCs w:val="15"/>
        </w:rPr>
        <w:t>"</w:t>
      </w:r>
      <w:r w:rsidRPr="00BB28B4">
        <w:rPr>
          <w:rFonts w:eastAsia="ArialMT" w:cs="Arial"/>
          <w:sz w:val="24"/>
          <w:szCs w:val="15"/>
        </w:rPr>
        <w:t>grave</w:t>
      </w:r>
      <w:r w:rsidR="00AA56E3">
        <w:rPr>
          <w:rFonts w:eastAsia="ArialMT" w:cs="Arial"/>
          <w:sz w:val="24"/>
          <w:szCs w:val="15"/>
        </w:rPr>
        <w:t>"</w:t>
      </w:r>
      <w:r w:rsidRPr="00BB28B4">
        <w:rPr>
          <w:rFonts w:eastAsia="ArialMT" w:cs="Arial"/>
          <w:sz w:val="24"/>
          <w:szCs w:val="15"/>
        </w:rPr>
        <w:t xml:space="preserve"> la infracción cometida por la empresa demandante, y por el contrario, no resultaba admisible la implementación de un área no contemplada en su instrumento de gestión ambiental bajo la justificación de un presunto bloqueo de la línea férrea, lo cual implicaba incurrir en infracción administrativa ...</w:t>
      </w:r>
      <w:r w:rsidR="00AA56E3">
        <w:rPr>
          <w:rFonts w:eastAsia="ArialMT" w:cs="Arial"/>
          <w:sz w:val="24"/>
          <w:szCs w:val="15"/>
        </w:rPr>
        <w:t>"</w:t>
      </w:r>
      <w:r w:rsidRPr="00BB28B4">
        <w:rPr>
          <w:rFonts w:eastAsia="ArialMT" w:cs="Arial"/>
          <w:sz w:val="24"/>
          <w:szCs w:val="15"/>
        </w:rPr>
        <w:t xml:space="preserve">. </w:t>
      </w:r>
      <w:r w:rsidRPr="00BB28B4">
        <w:rPr>
          <w:rFonts w:eastAsia="ArialMT" w:cs="Arial"/>
          <w:b/>
          <w:bCs/>
          <w:sz w:val="24"/>
          <w:szCs w:val="15"/>
        </w:rPr>
        <w:t xml:space="preserve">Consideraciones previas del recurso de casación: Quinto: </w:t>
      </w:r>
      <w:r w:rsidRPr="00BB28B4">
        <w:rPr>
          <w:rFonts w:eastAsia="ArialMT" w:cs="Arial"/>
          <w:sz w:val="24"/>
          <w:szCs w:val="15"/>
        </w:rPr>
        <w:t>En primer lugar, debe tenerse en cuenta que el recurso extraordinario de casación tiene por objeto, el control de las infracciones que las sentencias o los autos puedan cometer en la aplicación del derecho; partiendo a tal efecto de los hechos considerados probados en las instancias de mérito y aceptados por las partes, para luego examinar si la calificación jurídica realizada es la apropiada a aquellos hechos. No bastando la sola existencia de la infracción normativa, sino que se requiere que el error sea esencial o decisivo sobre el resultado de lo decidido</w:t>
      </w:r>
      <w:r w:rsidRPr="00BB28B4">
        <w:rPr>
          <w:rFonts w:eastAsia="ArialMT" w:cs="Arial"/>
          <w:b/>
          <w:bCs/>
          <w:sz w:val="24"/>
          <w:szCs w:val="15"/>
        </w:rPr>
        <w:t xml:space="preserve">. Sexto: </w:t>
      </w:r>
      <w:r w:rsidRPr="00BB28B4">
        <w:rPr>
          <w:rFonts w:eastAsia="ArialMT" w:cs="Arial"/>
          <w:sz w:val="24"/>
          <w:szCs w:val="15"/>
        </w:rPr>
        <w:t xml:space="preserve">En ese sentido, </w:t>
      </w:r>
      <w:r w:rsidRPr="00BB28B4">
        <w:rPr>
          <w:rFonts w:eastAsia="ArialMT" w:cs="Arial"/>
          <w:sz w:val="24"/>
          <w:szCs w:val="15"/>
        </w:rPr>
        <w:lastRenderedPageBreak/>
        <w:t xml:space="preserve">atendiendo a que se han denunciado infracciones a normas procesales y materiales se emitirá pronunciamiento, en primer término, sobre la causal procesal denunciada, pues resulta evidente que de estimarse la misma, carecería de objeto pronunciarse sobre la otra causal, al encontrarse perjudicada la validez de los actos procesales, caso contrario, de no ser estimada dicha causal, recién correspondería emitir pronunciamiento sobre la causal de carácter material. </w:t>
      </w:r>
      <w:r w:rsidRPr="00BB28B4">
        <w:rPr>
          <w:rFonts w:eastAsia="ArialMT" w:cs="Arial"/>
          <w:b/>
          <w:bCs/>
          <w:sz w:val="24"/>
          <w:szCs w:val="15"/>
        </w:rPr>
        <w:t xml:space="preserve">Infracción normativa del artículo 139 inciso 5 de la Constitución Política del Perú, artículo 12 del Texto Único Ordenado de la Ley Orgánica del Poder Judicial y numerales 3 y 4 del artículo 122 del Código Procesal Civil. Séptimo: </w:t>
      </w:r>
      <w:r w:rsidRPr="00BB28B4">
        <w:rPr>
          <w:rFonts w:eastAsia="ArialMT" w:cs="Arial"/>
          <w:sz w:val="24"/>
          <w:szCs w:val="15"/>
        </w:rPr>
        <w:t xml:space="preserve">Uno de los principales componentes del derecho al debido proceso se encuentra constituido por el denominado </w:t>
      </w:r>
      <w:r w:rsidRPr="00BB28B4">
        <w:rPr>
          <w:rFonts w:eastAsia="ArialMT" w:cs="Arial"/>
          <w:i/>
          <w:iCs/>
          <w:sz w:val="24"/>
          <w:szCs w:val="15"/>
        </w:rPr>
        <w:t>derecho a la motivación</w:t>
      </w:r>
      <w:r w:rsidRPr="00BB28B4">
        <w:rPr>
          <w:rFonts w:eastAsia="ArialMT" w:cs="Arial"/>
          <w:sz w:val="24"/>
          <w:szCs w:val="15"/>
        </w:rPr>
        <w:t>, consagrado por el artículo 139 inciso 5 de la Carta Política, por el cual se garantiza a las partes involucradas en la controversia el acceso a una respuesta del juzgador que se encuentre adecuadamente sustentada en argumentos que justifiquen lógica y razonablemente, en base a los hechos acreditados en el proceso y al derecho aplicable al caso, la decisión adoptada, y que, además, resulten congruentes con las pretensiones y alegaciones esgrimidas por aquellas dentro de la controversia</w:t>
      </w:r>
      <w:r w:rsidRPr="00BB28B4">
        <w:rPr>
          <w:rFonts w:eastAsia="ArialMT" w:cs="Arial"/>
          <w:b/>
          <w:bCs/>
          <w:sz w:val="24"/>
          <w:szCs w:val="15"/>
        </w:rPr>
        <w:t xml:space="preserve">. Octavo: </w:t>
      </w:r>
      <w:r w:rsidRPr="00BB28B4">
        <w:rPr>
          <w:rFonts w:eastAsia="ArialMT" w:cs="Arial"/>
          <w:sz w:val="24"/>
          <w:szCs w:val="15"/>
        </w:rPr>
        <w:t xml:space="preserve">Sobre </w:t>
      </w:r>
      <w:r w:rsidRPr="00BB28B4">
        <w:rPr>
          <w:rFonts w:eastAsia="ArialMT" w:cs="Arial"/>
          <w:b/>
          <w:bCs/>
          <w:sz w:val="24"/>
          <w:szCs w:val="15"/>
        </w:rPr>
        <w:t>motivación de las resoluciones judiciales</w:t>
      </w:r>
      <w:r w:rsidRPr="00BB28B4">
        <w:rPr>
          <w:rFonts w:eastAsia="ArialMT" w:cs="Arial"/>
          <w:sz w:val="24"/>
          <w:szCs w:val="15"/>
        </w:rPr>
        <w:t xml:space="preserve">, Roger Zavaleta Rodríguez en su libro </w:t>
      </w:r>
      <w:r w:rsidR="00AA56E3">
        <w:rPr>
          <w:rFonts w:eastAsia="ArialMT" w:cs="Arial"/>
          <w:sz w:val="24"/>
          <w:szCs w:val="15"/>
        </w:rPr>
        <w:t>"</w:t>
      </w:r>
      <w:r w:rsidRPr="00BB28B4">
        <w:rPr>
          <w:rFonts w:eastAsia="ArialMT" w:cs="Arial"/>
          <w:sz w:val="24"/>
          <w:szCs w:val="15"/>
        </w:rPr>
        <w:t>La</w:t>
      </w:r>
      <w:r w:rsidR="00AA56E3" w:rsidRPr="00BB28B4">
        <w:rPr>
          <w:rFonts w:eastAsia="ArialMT" w:cs="Arial"/>
          <w:sz w:val="24"/>
          <w:szCs w:val="15"/>
        </w:rPr>
        <w:t xml:space="preserve"> motivación de las resoluciones judiciales como argumentación ju</w:t>
      </w:r>
      <w:r w:rsidRPr="00BB28B4">
        <w:rPr>
          <w:rFonts w:eastAsia="ArialMT" w:cs="Arial"/>
          <w:sz w:val="24"/>
          <w:szCs w:val="15"/>
        </w:rPr>
        <w:t>rídica</w:t>
      </w:r>
      <w:r w:rsidR="00AA56E3">
        <w:rPr>
          <w:rFonts w:eastAsia="ArialMT" w:cs="Arial"/>
          <w:sz w:val="24"/>
          <w:szCs w:val="15"/>
        </w:rPr>
        <w:t>"</w:t>
      </w:r>
      <w:r w:rsidRPr="00BB28B4">
        <w:rPr>
          <w:rFonts w:eastAsia="ArialMT" w:cs="Arial"/>
          <w:sz w:val="24"/>
          <w:szCs w:val="9"/>
          <w:vertAlign w:val="superscript"/>
        </w:rPr>
        <w:t>1</w:t>
      </w:r>
      <w:r w:rsidRPr="00BB28B4">
        <w:rPr>
          <w:rFonts w:eastAsia="ArialMT" w:cs="Arial"/>
          <w:sz w:val="24"/>
          <w:szCs w:val="15"/>
        </w:rPr>
        <w:t xml:space="preserve">, precisa que: </w:t>
      </w:r>
      <w:r w:rsidR="00AA56E3">
        <w:rPr>
          <w:rFonts w:eastAsia="ArialMT" w:cs="Arial"/>
          <w:i/>
          <w:iCs/>
          <w:sz w:val="24"/>
          <w:szCs w:val="15"/>
        </w:rPr>
        <w:t>"</w:t>
      </w:r>
      <w:r w:rsidRPr="00BB28B4">
        <w:rPr>
          <w:rFonts w:eastAsia="ArialMT" w:cs="Arial"/>
          <w:i/>
          <w:iCs/>
          <w:sz w:val="24"/>
          <w:szCs w:val="15"/>
        </w:rPr>
        <w:t>Para fundamentar la decisión es indispensable que la conclusión contenida en el fallo responda a una inferencia formalmente correcta (justificación interna). Su observancia, sin embargo, no se limita a extraer la conclusión de las premisas predispuestas, pues también comprende una metodología racional en la fijación de aquellas (justificación externa). En lo posible las premisas deben ser materialmente verdaderas o válidas, según el caso, a fin de garantizar la solidez de la conclusión. En caso contrario esta no podría ser más fuerte que las premisas. Una decisión judicial está motivada si, y solo si, es racional. A su vez, una decisión es racional si, y solo si, está justificada interna y externamente. Mientras la justificación interna expresa una condición de racionalidad formal, la justificación externa garantiza racionalidad sustancial de las decisiones judiciales (...)</w:t>
      </w:r>
      <w:r w:rsidR="00AA56E3">
        <w:rPr>
          <w:rFonts w:eastAsia="ArialMT" w:cs="Arial"/>
          <w:i/>
          <w:iCs/>
          <w:sz w:val="24"/>
          <w:szCs w:val="15"/>
        </w:rPr>
        <w:t>"</w:t>
      </w:r>
      <w:r w:rsidRPr="00BB28B4">
        <w:rPr>
          <w:rFonts w:eastAsia="ArialMT" w:cs="Arial"/>
          <w:b/>
          <w:bCs/>
          <w:sz w:val="24"/>
          <w:szCs w:val="15"/>
        </w:rPr>
        <w:t xml:space="preserve">. Noveno: </w:t>
      </w:r>
      <w:r w:rsidRPr="00BB28B4">
        <w:rPr>
          <w:rFonts w:eastAsia="ArialMT" w:cs="Arial"/>
          <w:sz w:val="24"/>
          <w:szCs w:val="15"/>
        </w:rPr>
        <w:t xml:space="preserve">En relación a este asunto (sobre motivación de las resoluciones judiciales), el Tribunal Constitucional en el </w:t>
      </w:r>
      <w:r w:rsidR="00AA56E3" w:rsidRPr="00BB28B4">
        <w:rPr>
          <w:rFonts w:eastAsia="ArialMT" w:cs="Arial"/>
          <w:sz w:val="24"/>
          <w:szCs w:val="15"/>
        </w:rPr>
        <w:t xml:space="preserve">Expediente </w:t>
      </w:r>
      <w:r w:rsidRPr="00BB28B4">
        <w:rPr>
          <w:rFonts w:eastAsia="ArialMT" w:cs="Arial"/>
          <w:sz w:val="24"/>
          <w:szCs w:val="15"/>
        </w:rPr>
        <w:t xml:space="preserve">N.° 1480-2006-AA/TC, ha puntualizado que: </w:t>
      </w:r>
      <w:r w:rsidR="00AA56E3">
        <w:rPr>
          <w:rFonts w:eastAsia="ArialMT" w:cs="Arial"/>
          <w:sz w:val="24"/>
          <w:szCs w:val="15"/>
        </w:rPr>
        <w:t>"</w:t>
      </w:r>
      <w:r w:rsidRPr="00BB28B4">
        <w:rPr>
          <w:rFonts w:eastAsia="ArialMT" w:cs="Arial"/>
          <w:sz w:val="24"/>
          <w:szCs w:val="15"/>
        </w:rPr>
        <w:t xml:space="preserve">el derecho a la debida motivación de las resoluciones importa que los jueces, al resolver las causas, expresen las razones o justificaciones objetivas que los llevan a tomar una determinada decisión. Esas razones, (...) deben provenir no solo del ordenamiento jurídico vigente y aplicable al caso, sino de los propios hechos debidamente acreditados en el trámite del proceso. Sin embargo, la tutela del derecho a la motivación de las resoluciones judiciales no debe ni puede servir de pretexto para someter a un nuevo examen las cuestiones de fondo ya decididas por los jueces ordinarios. En tal sentido, (...) el análisis de si en una determinada resolución judicial se ha violado o no el derecho a la debida motivación de las resoluciones judiciales debe realizarse a partir de los propios fundamentos expuestos en la resolución cuestionada, de modo que las demás piezas procesales o medios probatorios del proceso en cuestión solo pueden ser evaluados para contrastar las razones expuestas, mas no pueden ser objeto de una nueva evaluación o análisis. Esto, porque en este tipo de procesos al juez constitucional no le incumbe el mérito de la causa, sino el </w:t>
      </w:r>
      <w:r w:rsidRPr="00BB28B4">
        <w:rPr>
          <w:rFonts w:eastAsia="ArialMT" w:cs="Arial"/>
          <w:sz w:val="24"/>
          <w:szCs w:val="15"/>
        </w:rPr>
        <w:lastRenderedPageBreak/>
        <w:t>análisis externo de la resolución, a efectos de constatar si esta es el resultado de un juicio racional y objetivo donde el juez ha puesto en evidencia su independencia e imparcialidad en la solución de un determinado conflicto, sin caer ni en arbitrariedad en la interpretación y aplicación del derecho, ni en subjetividades o inconsistencias en la valoración de los hechos</w:t>
      </w:r>
      <w:r w:rsidR="00AA56E3">
        <w:rPr>
          <w:rFonts w:eastAsia="ArialMT" w:cs="Arial"/>
          <w:sz w:val="24"/>
          <w:szCs w:val="15"/>
        </w:rPr>
        <w:t>"</w:t>
      </w:r>
      <w:r w:rsidRPr="00BB28B4">
        <w:rPr>
          <w:rFonts w:eastAsia="ArialMT" w:cs="Arial"/>
          <w:b/>
          <w:bCs/>
          <w:sz w:val="24"/>
          <w:szCs w:val="15"/>
        </w:rPr>
        <w:t xml:space="preserve">. Décimo: </w:t>
      </w:r>
      <w:r w:rsidRPr="00BB28B4">
        <w:rPr>
          <w:rFonts w:eastAsia="ArialMT" w:cs="Arial"/>
          <w:sz w:val="24"/>
          <w:szCs w:val="15"/>
        </w:rPr>
        <w:t>Así, se entiende que el deber de motivación de las resoluciones judiciales, que es regulado por el artículo 139 inciso 5 de la Constitución Política del Estado, garantiza que los jueces, cualquiera que sea la instancia a la que pertenezcan, deben expresar el análisis que los ha llevado a decidir una controversia, asegurando que el ejercicio de administrar justicia se haga con sujeción a la Constitución y a la Ley; en tal sentido, habrá motivación adecuada de las resoluciones judiciales, siempre que la resolución contenga los fundamentos jurídicos y fácticos que sustentan la decisión, que la motivación responda estrictamente a la ley y a lo que fluye de los actuados, pero además, deberá existir una correspondencia lógica (congruencia) entre lo pedido y lo resuelto, de tal modo que la resolución por sí misma exprese una suficiente justificación de lo que se decide u ordena; así, se entiende que la motivación escrita de las resoluciones judiciales constituye un deber para los magistrados, tal como lo establecen los artículos 50</w:t>
      </w:r>
      <w:r w:rsidRPr="00BB28B4">
        <w:rPr>
          <w:rFonts w:eastAsia="ArialMT" w:cs="Arial"/>
          <w:sz w:val="24"/>
          <w:szCs w:val="9"/>
          <w:vertAlign w:val="superscript"/>
        </w:rPr>
        <w:t>2</w:t>
      </w:r>
      <w:r w:rsidRPr="00BB28B4">
        <w:rPr>
          <w:rFonts w:eastAsia="ArialMT" w:cs="Arial"/>
          <w:sz w:val="24"/>
          <w:szCs w:val="9"/>
        </w:rPr>
        <w:t xml:space="preserve"> </w:t>
      </w:r>
      <w:r w:rsidRPr="00BB28B4">
        <w:rPr>
          <w:rFonts w:eastAsia="ArialMT" w:cs="Arial"/>
          <w:sz w:val="24"/>
          <w:szCs w:val="15"/>
        </w:rPr>
        <w:t>inciso 6, 122</w:t>
      </w:r>
      <w:r w:rsidRPr="00BB28B4">
        <w:rPr>
          <w:rFonts w:eastAsia="ArialMT" w:cs="Arial"/>
          <w:sz w:val="24"/>
          <w:szCs w:val="9"/>
          <w:vertAlign w:val="superscript"/>
        </w:rPr>
        <w:t>3</w:t>
      </w:r>
      <w:r w:rsidRPr="00BB28B4">
        <w:rPr>
          <w:rFonts w:eastAsia="ArialMT" w:cs="Arial"/>
          <w:sz w:val="24"/>
          <w:szCs w:val="9"/>
        </w:rPr>
        <w:t xml:space="preserve"> </w:t>
      </w:r>
      <w:r w:rsidRPr="00BB28B4">
        <w:rPr>
          <w:rFonts w:eastAsia="ArialMT" w:cs="Arial"/>
          <w:sz w:val="24"/>
          <w:szCs w:val="15"/>
        </w:rPr>
        <w:t>numerales 3 y 4 del Código Procesal Civil y el artículo 12</w:t>
      </w:r>
      <w:r w:rsidRPr="00BB28B4">
        <w:rPr>
          <w:rFonts w:eastAsia="ArialMT" w:cs="Arial"/>
          <w:sz w:val="24"/>
          <w:szCs w:val="9"/>
          <w:vertAlign w:val="superscript"/>
        </w:rPr>
        <w:t>4</w:t>
      </w:r>
      <w:r w:rsidRPr="00BB28B4">
        <w:rPr>
          <w:rFonts w:eastAsia="ArialMT" w:cs="Arial"/>
          <w:sz w:val="24"/>
          <w:szCs w:val="9"/>
        </w:rPr>
        <w:t xml:space="preserve"> </w:t>
      </w:r>
      <w:r w:rsidRPr="00BB28B4">
        <w:rPr>
          <w:rFonts w:eastAsia="ArialMT" w:cs="Arial"/>
          <w:sz w:val="24"/>
          <w:szCs w:val="15"/>
        </w:rPr>
        <w:t>del Texto Único Ordenado de la Ley Orgánica del Poder Judicial; y, dicho deber implica que los juzgadores señalen en forma expresa la ley que aplican con el razonamiento jurídico a las que esta les ha llevado, así como los fundamentos fácticos que sustentan su decisión, respetando los principios de jerarquía normativa y de congruencia</w:t>
      </w:r>
      <w:r w:rsidRPr="00BB28B4">
        <w:rPr>
          <w:rFonts w:eastAsia="ArialMT" w:cs="Arial"/>
          <w:b/>
          <w:bCs/>
          <w:sz w:val="24"/>
          <w:szCs w:val="15"/>
        </w:rPr>
        <w:t xml:space="preserve">. Décimo Primero: </w:t>
      </w:r>
      <w:r w:rsidRPr="00BB28B4">
        <w:rPr>
          <w:rFonts w:eastAsia="ArialMT" w:cs="Arial"/>
          <w:sz w:val="24"/>
          <w:szCs w:val="15"/>
        </w:rPr>
        <w:t>La recurrente, manifiesta que en la sentencia de vista existiría una afectación al principio de la motivación de las resoluciones judiciales, por cuanto la recurrida no ha tenido en cuenta los documentos presentados en el recurso de apelación, que acreditarían el bloqueo de la vía férrea, lo que resultaba necesario para aplicar el eximente de responsabilidad por caso fortuito o fuerza mayor, además, que la fundición debe mantener continuidad operativa a fin de evitar graves riesgos ambientales y de seguridad conforme lo establece el capítulo 5 del PAMA</w:t>
      </w:r>
      <w:r w:rsidRPr="00BB28B4">
        <w:rPr>
          <w:rFonts w:eastAsia="ArialMT" w:cs="Arial"/>
          <w:b/>
          <w:bCs/>
          <w:sz w:val="24"/>
          <w:szCs w:val="15"/>
        </w:rPr>
        <w:t xml:space="preserve">. Décimo Segundo: </w:t>
      </w:r>
      <w:r w:rsidRPr="00BB28B4">
        <w:rPr>
          <w:rFonts w:eastAsia="ArialMT" w:cs="Arial"/>
          <w:sz w:val="24"/>
          <w:szCs w:val="15"/>
        </w:rPr>
        <w:t xml:space="preserve">Al respecto, en cuanto al bloqueo de la vía férrea y la continuidad operativa, se advierte que, la Sala Superior en su considerando Décimo Sexto y Décimo Octavo de la sentencia de vista, estableció que: </w:t>
      </w:r>
      <w:r w:rsidR="00AA56E3">
        <w:rPr>
          <w:rFonts w:eastAsia="ArialMT" w:cs="Arial"/>
          <w:sz w:val="24"/>
          <w:szCs w:val="15"/>
        </w:rPr>
        <w:t>"</w:t>
      </w:r>
      <w:r w:rsidRPr="00BB28B4">
        <w:rPr>
          <w:rFonts w:eastAsia="ArialMT" w:cs="Arial"/>
          <w:i/>
          <w:iCs/>
          <w:sz w:val="24"/>
          <w:szCs w:val="15"/>
        </w:rPr>
        <w:t xml:space="preserve">... No habiendo tampoco nexo causal, ya que la empresa demandante, debía tener un actuar diligente en su </w:t>
      </w:r>
      <w:r w:rsidRPr="00BB28B4">
        <w:rPr>
          <w:rFonts w:cs="Arial"/>
          <w:i/>
          <w:iCs/>
          <w:sz w:val="24"/>
          <w:szCs w:val="15"/>
        </w:rPr>
        <w:t>calidad de titular de una licencia de operación para realizar actividades mineras, teniendo la obligación de cumplir con la normativa vigente, siendo conocedora de las normas que regulan su actividad, como de las obligaciones ambientales fiscalizables a su cargo, además del conocimiento de las características propias de la actividad minera en el país y las actuaciones que deben producirse en el mismo, situación que se encontraba dentro de su esfera de dominio y control ... no resultaba admisible la implementación de un área no contemplada en su instrumento de gestión ambiental bajo la justificación de un presunto bloqueo de la línea férrea</w:t>
      </w:r>
      <w:r w:rsidR="00AA56E3">
        <w:rPr>
          <w:rFonts w:eastAsia="ArialMT" w:cs="Arial"/>
          <w:sz w:val="24"/>
          <w:szCs w:val="15"/>
        </w:rPr>
        <w:t>"</w:t>
      </w:r>
      <w:r w:rsidRPr="00BB28B4">
        <w:rPr>
          <w:rFonts w:eastAsia="ArialMT" w:cs="Arial"/>
          <w:sz w:val="24"/>
          <w:szCs w:val="15"/>
        </w:rPr>
        <w:t xml:space="preserve">, del mismo modo, el </w:t>
      </w:r>
      <w:r w:rsidR="00AA56E3" w:rsidRPr="00BB28B4">
        <w:rPr>
          <w:rFonts w:eastAsia="ArialMT" w:cs="Arial"/>
          <w:sz w:val="24"/>
          <w:szCs w:val="15"/>
        </w:rPr>
        <w:t xml:space="preserve">juzgado </w:t>
      </w:r>
      <w:r w:rsidRPr="00BB28B4">
        <w:rPr>
          <w:rFonts w:eastAsia="ArialMT" w:cs="Arial"/>
          <w:sz w:val="24"/>
          <w:szCs w:val="15"/>
        </w:rPr>
        <w:t xml:space="preserve">a través de su sentencia apelada en su considerando Noveno, indicó que: </w:t>
      </w:r>
      <w:r w:rsidR="00AA56E3">
        <w:rPr>
          <w:rFonts w:eastAsia="ArialMT" w:cs="Arial"/>
          <w:sz w:val="24"/>
          <w:szCs w:val="15"/>
        </w:rPr>
        <w:t>"</w:t>
      </w:r>
      <w:r w:rsidRPr="00BB28B4">
        <w:rPr>
          <w:rFonts w:cs="Arial"/>
          <w:i/>
          <w:iCs/>
          <w:sz w:val="24"/>
          <w:szCs w:val="15"/>
        </w:rPr>
        <w:t xml:space="preserve">... la conducta infractora está relacionada a que la demandante implementó un área (Patio de Maniobras Coquina) que no estaba considerada en el PAMA para actividades mineras que tampoco estaban consideradas en dicho documento para la Planta de </w:t>
      </w:r>
      <w:r w:rsidRPr="00BB28B4">
        <w:rPr>
          <w:rFonts w:cs="Arial"/>
          <w:i/>
          <w:iCs/>
          <w:sz w:val="24"/>
          <w:szCs w:val="15"/>
        </w:rPr>
        <w:lastRenderedPageBreak/>
        <w:t>Procesamiento Coquina; en ese sentido, la huelga descrita por la recurrente no resulta idónea a efectos de pretender eximirse de la responsabilidad por la acción de «implementar»</w:t>
      </w:r>
      <w:r w:rsidR="00AA56E3">
        <w:rPr>
          <w:rFonts w:cs="Arial"/>
          <w:i/>
          <w:iCs/>
          <w:sz w:val="24"/>
          <w:szCs w:val="15"/>
        </w:rPr>
        <w:t>"</w:t>
      </w:r>
      <w:r w:rsidRPr="00BB28B4">
        <w:rPr>
          <w:rFonts w:eastAsia="ArialMT" w:cs="Arial"/>
          <w:sz w:val="24"/>
          <w:szCs w:val="15"/>
        </w:rPr>
        <w:t xml:space="preserve">, asimismo, en sede administrativa el Tribunal de Fiscalización Ambiental a través de la Resolución N.° 284-2019-OEFA/TFASMEPIM, también ha dado respuesta al administrado sobre dicho punto al señalar que: </w:t>
      </w:r>
      <w:r w:rsidR="00AA56E3">
        <w:rPr>
          <w:rFonts w:eastAsia="ArialMT" w:cs="Arial"/>
          <w:sz w:val="24"/>
          <w:szCs w:val="15"/>
        </w:rPr>
        <w:t>"</w:t>
      </w:r>
      <w:r w:rsidRPr="00BB28B4">
        <w:rPr>
          <w:rFonts w:cs="Arial"/>
          <w:i/>
          <w:iCs/>
          <w:sz w:val="24"/>
          <w:szCs w:val="15"/>
        </w:rPr>
        <w:t>... no resulta admisible la implementación de un área no contemplada en su instrumento de gestión ambiental bajo la justificación de un presunto bloqueo de la línea férrea, lo cual implicaba incurrir en infracción administrativa; siendo así, el administrado tuvo el dominio del hecho en la consumación de la conducta infractora, es decir, pudo decidir si implementaba o no el área denominada en la Supervisión Especial 2017 como Desvío Coquina (Patio de maniobras), por lo que la infracción tuvo su origen en un hecho propio de Southern Perú, no existiendo fractura de nexo causal, toda vez que la implementación del área no contemplada en al PAMA llo no fue un hecho extraordinario, imprevisible ni irresistible para el administrado...</w:t>
      </w:r>
      <w:r w:rsidR="00AA56E3">
        <w:rPr>
          <w:rFonts w:eastAsia="ArialMT" w:cs="Arial"/>
          <w:sz w:val="24"/>
          <w:szCs w:val="15"/>
        </w:rPr>
        <w:t>"</w:t>
      </w:r>
      <w:r w:rsidRPr="00BB28B4">
        <w:rPr>
          <w:rFonts w:eastAsia="ArialMT" w:cs="Arial"/>
          <w:sz w:val="24"/>
          <w:szCs w:val="15"/>
        </w:rPr>
        <w:t xml:space="preserve">, por último, la administración mediante la Resolución Directoral N.° 001-2019-OEFA/DFAI, indicó que: </w:t>
      </w:r>
      <w:r w:rsidR="00AA56E3">
        <w:rPr>
          <w:rFonts w:eastAsia="ArialMT" w:cs="Arial"/>
          <w:sz w:val="24"/>
          <w:szCs w:val="15"/>
        </w:rPr>
        <w:t>"</w:t>
      </w:r>
      <w:r w:rsidRPr="00BB28B4">
        <w:rPr>
          <w:rFonts w:cs="Arial"/>
          <w:i/>
          <w:iCs/>
          <w:sz w:val="24"/>
          <w:szCs w:val="15"/>
        </w:rPr>
        <w:t xml:space="preserve">... el administrado considera que se encuentra ante un supuesto de eximencia de responsabilidad al haber sido la huelga realizada por el Sindicato de Trabajadores y el posterior bloqueo de la línea férrea; un acto sobre el cual no pudo haber tenido control ni haber previsto; es decir, resulta a todas luces un hecho irresistible, extraordinario e imprevisible. Esto es, un evento de fuerza mayor ... de la revisión de los medios probatorios, se verificó que el hecho alegado ... no cumple con las características exigidas por la legislación y la doctrina ... no se trata de un hecho </w:t>
      </w:r>
      <w:r w:rsidRPr="00BB28B4">
        <w:rPr>
          <w:rFonts w:cs="Arial"/>
          <w:b/>
          <w:bCs/>
          <w:i/>
          <w:iCs/>
          <w:sz w:val="24"/>
          <w:szCs w:val="15"/>
        </w:rPr>
        <w:t>imprevisible</w:t>
      </w:r>
      <w:r w:rsidRPr="00BB28B4">
        <w:rPr>
          <w:rFonts w:cs="Arial"/>
          <w:i/>
          <w:iCs/>
          <w:sz w:val="24"/>
          <w:szCs w:val="15"/>
        </w:rPr>
        <w:t xml:space="preserve">, toda vez que el administrado pudo haberlo previsto ... al contar con un plan de contingencia frente a dicho suceso ... a situaciones de índole natural, social y técnico que alteren el normal desarrollo de su actividad, con lo cual se haría frente a estos imprevistos de tal manera que no se afectarían la salud de los trabajadores, las operaciones y el medio ambiente. No es </w:t>
      </w:r>
      <w:r w:rsidRPr="00BB28B4">
        <w:rPr>
          <w:rFonts w:cs="Arial"/>
          <w:b/>
          <w:bCs/>
          <w:i/>
          <w:iCs/>
          <w:sz w:val="24"/>
          <w:szCs w:val="15"/>
        </w:rPr>
        <w:t>irresistible</w:t>
      </w:r>
      <w:r w:rsidRPr="00BB28B4">
        <w:rPr>
          <w:rFonts w:cs="Arial"/>
          <w:i/>
          <w:iCs/>
          <w:sz w:val="24"/>
          <w:szCs w:val="15"/>
        </w:rPr>
        <w:t xml:space="preserve">, toda vez que el administrado pudo actuar de otra manera con la finalidad de cumplir con su compromiso ambiental, más aún, cuando pudo presentar una modificación de su compromiso antes de ocurrida dicha contingencia. En este caso el administrado podría en alguna manera impedir o evitar este tipo de hechos mediante algún acuerdo con la parte en huelga toda vez que con ellos existe un vínculo laboral y no se trata de terceros ajenos al administrado ... No es </w:t>
      </w:r>
      <w:r w:rsidRPr="00BB28B4">
        <w:rPr>
          <w:rFonts w:cs="Arial"/>
          <w:b/>
          <w:bCs/>
          <w:i/>
          <w:iCs/>
          <w:sz w:val="24"/>
          <w:szCs w:val="15"/>
        </w:rPr>
        <w:t>extraordinario</w:t>
      </w:r>
      <w:r w:rsidRPr="00BB28B4">
        <w:rPr>
          <w:rFonts w:cs="Arial"/>
          <w:i/>
          <w:iCs/>
          <w:sz w:val="24"/>
          <w:szCs w:val="15"/>
        </w:rPr>
        <w:t>, puesto que no es un riesgo ajeno o atípico a las actividades del administrado, siendo que era de conocimiento del administrado la situación de huelga de sus trabajadores ... Al no concurrir el hecho alegado en estas 3 características, se considera que no se ha tratado de un hecho de fuerza mayor o un hecho determinante de tercero, por lo cual se concluye que este no se ría ajeno al administrado y por lo tanto ... no logra desvirtuar ni acreditar el eximente de responsabilidad ...</w:t>
      </w:r>
      <w:r w:rsidR="00AA56E3">
        <w:rPr>
          <w:rFonts w:cs="Arial"/>
          <w:i/>
          <w:iCs/>
          <w:sz w:val="24"/>
          <w:szCs w:val="15"/>
        </w:rPr>
        <w:t>"</w:t>
      </w:r>
      <w:r w:rsidRPr="00BB28B4">
        <w:rPr>
          <w:rFonts w:eastAsia="ArialMT" w:cs="Arial"/>
          <w:sz w:val="24"/>
          <w:szCs w:val="15"/>
        </w:rPr>
        <w:t>. De lo expuesto, podemos concluir que, tanto en sede administrativa como judicial, al demandante se le ha dado respuesta sobre el referido bloqueo de la vía férrea y también sobre la continuidad operativa, estableciéndose que la empresa debió actuar de manera diligente en su calidad de titular de una licencia de operación para realizar actividades mineras, siendo que la infracción cometida se encuentra vinculada con la implementación de un área (Patio de Maniobras Coquina) que no estaba considerada en el PAMA</w:t>
      </w:r>
      <w:r w:rsidRPr="00BB28B4">
        <w:rPr>
          <w:rFonts w:cs="Arial"/>
          <w:b/>
          <w:bCs/>
          <w:sz w:val="24"/>
          <w:szCs w:val="15"/>
        </w:rPr>
        <w:t xml:space="preserve">. Décimo Tercero: </w:t>
      </w:r>
      <w:r w:rsidRPr="00BB28B4">
        <w:rPr>
          <w:rFonts w:eastAsia="ArialMT" w:cs="Arial"/>
          <w:sz w:val="24"/>
          <w:szCs w:val="15"/>
        </w:rPr>
        <w:t xml:space="preserve">Sin perjuicio de lo expuesto, se </w:t>
      </w:r>
      <w:r w:rsidRPr="00BB28B4">
        <w:rPr>
          <w:rFonts w:eastAsia="ArialMT" w:cs="Arial"/>
          <w:sz w:val="24"/>
          <w:szCs w:val="15"/>
        </w:rPr>
        <w:lastRenderedPageBreak/>
        <w:t xml:space="preserve">debe tener en consideración lo ya establecido por las instancias jurisdiccionales, sobre que, en el presente caso, no se ha desvirtuado el hecho que las actividades aprobadas para la Estación Coquina se refieren a la manipulación conchuela y no de concentrado de cobre, siendo estos de diferentes características, principalmente de granulometría y el contenido metálico, por consiguiente, las actividades de manejo ambiental aprobadas para conchuela es diferente en caso de tratarse de concentrado, incumpliéndose de todas maneras, la obligación del titular minero prevista en el artículo 18 del Decreto Supremo N.° 040-2014-EM. Siendo así, para efectos del caso, se debe tener presente que </w:t>
      </w:r>
      <w:r w:rsidR="00AA56E3">
        <w:rPr>
          <w:rFonts w:eastAsia="ArialMT" w:cs="Arial"/>
          <w:sz w:val="24"/>
          <w:szCs w:val="15"/>
        </w:rPr>
        <w:t>"</w:t>
      </w:r>
      <w:r w:rsidRPr="00BB28B4">
        <w:rPr>
          <w:rFonts w:eastAsia="ArialMT" w:cs="Arial"/>
          <w:i/>
          <w:iCs/>
          <w:sz w:val="24"/>
          <w:szCs w:val="15"/>
        </w:rPr>
        <w:t xml:space="preserve">la motivación suficiente, en la concepción de este Tribunal, se refiere, básicamente, al mínimo de motivación exigible atendiendo a las razones de hecho o de derecho indispensables para asumir que la decisión está debidamente motivada. Si bien no se trata de dar respuestas a cada una de las pretensiones planteadas, la insuficiencia, vista aquí en términos generales, sólo resultará relevante desde una perspectiva constitucional si es que la ausencia de argumentos o la </w:t>
      </w:r>
      <w:r w:rsidR="00AA56E3">
        <w:rPr>
          <w:rFonts w:eastAsia="ArialMT" w:cs="Arial"/>
          <w:i/>
          <w:iCs/>
          <w:sz w:val="24"/>
          <w:szCs w:val="15"/>
        </w:rPr>
        <w:t>'</w:t>
      </w:r>
      <w:r w:rsidRPr="00BB28B4">
        <w:rPr>
          <w:rFonts w:eastAsia="ArialMT" w:cs="Arial"/>
          <w:i/>
          <w:iCs/>
          <w:sz w:val="24"/>
          <w:szCs w:val="15"/>
        </w:rPr>
        <w:t>insuficiencia</w:t>
      </w:r>
      <w:r w:rsidR="00AA56E3">
        <w:rPr>
          <w:rFonts w:eastAsia="ArialMT" w:cs="Arial"/>
          <w:i/>
          <w:iCs/>
          <w:sz w:val="24"/>
          <w:szCs w:val="15"/>
        </w:rPr>
        <w:t>'</w:t>
      </w:r>
      <w:r w:rsidRPr="00BB28B4">
        <w:rPr>
          <w:rFonts w:eastAsia="ArialMT" w:cs="Arial"/>
          <w:i/>
          <w:iCs/>
          <w:sz w:val="24"/>
          <w:szCs w:val="15"/>
        </w:rPr>
        <w:t xml:space="preserve"> de fundamentos </w:t>
      </w:r>
      <w:r w:rsidR="00AA56E3" w:rsidRPr="00BB28B4">
        <w:rPr>
          <w:rFonts w:eastAsia="ArialMT" w:cs="Arial"/>
          <w:i/>
          <w:iCs/>
          <w:sz w:val="24"/>
          <w:szCs w:val="15"/>
        </w:rPr>
        <w:t xml:space="preserve">resulta </w:t>
      </w:r>
      <w:r w:rsidRPr="00BB28B4">
        <w:rPr>
          <w:rFonts w:eastAsia="ArialMT" w:cs="Arial"/>
          <w:i/>
          <w:iCs/>
          <w:sz w:val="24"/>
          <w:szCs w:val="15"/>
        </w:rPr>
        <w:t>manifiesta a la luz de lo que en sustancia se está decidiendo</w:t>
      </w:r>
      <w:r w:rsidR="00AA56E3">
        <w:rPr>
          <w:rFonts w:eastAsia="ArialMT" w:cs="Arial"/>
          <w:sz w:val="24"/>
          <w:szCs w:val="15"/>
        </w:rPr>
        <w:t>"</w:t>
      </w:r>
      <w:r w:rsidRPr="00BB28B4">
        <w:rPr>
          <w:rFonts w:eastAsia="ArialMT" w:cs="Arial"/>
          <w:sz w:val="24"/>
          <w:szCs w:val="9"/>
          <w:vertAlign w:val="superscript"/>
        </w:rPr>
        <w:t>5</w:t>
      </w:r>
      <w:r w:rsidRPr="00BB28B4">
        <w:rPr>
          <w:rFonts w:eastAsia="ArialMT" w:cs="Arial"/>
          <w:sz w:val="24"/>
          <w:szCs w:val="15"/>
        </w:rPr>
        <w:t>. En consecuencia, conforme se observa de la sentencia de vista, aparecen los m</w:t>
      </w:r>
      <w:r w:rsidR="00AA56E3" w:rsidRPr="00BB28B4">
        <w:rPr>
          <w:rFonts w:eastAsia="ArialMT" w:cs="Arial"/>
          <w:sz w:val="24"/>
          <w:szCs w:val="15"/>
        </w:rPr>
        <w:t>otivos que condujeron a la sala superior a</w:t>
      </w:r>
      <w:r w:rsidRPr="00BB28B4">
        <w:rPr>
          <w:rFonts w:eastAsia="ArialMT" w:cs="Arial"/>
          <w:sz w:val="24"/>
          <w:szCs w:val="15"/>
        </w:rPr>
        <w:t xml:space="preserve"> emitir su decisión; por lo que, resulta equivocado lo expresado en el recurso de casación cuando refiere que no existe motivación</w:t>
      </w:r>
      <w:r w:rsidRPr="00BB28B4">
        <w:rPr>
          <w:rFonts w:eastAsia="ArialMT" w:cs="Arial"/>
          <w:b/>
          <w:bCs/>
          <w:sz w:val="24"/>
          <w:szCs w:val="15"/>
        </w:rPr>
        <w:t xml:space="preserve">. Décimo Cuarto: </w:t>
      </w:r>
      <w:r w:rsidRPr="00BB28B4">
        <w:rPr>
          <w:rFonts w:eastAsia="ArialMT" w:cs="Arial"/>
          <w:sz w:val="24"/>
          <w:szCs w:val="15"/>
        </w:rPr>
        <w:t xml:space="preserve">Por consiguiente, se aprecia que el </w:t>
      </w:r>
      <w:r w:rsidR="00AA56E3" w:rsidRPr="00BB28B4">
        <w:rPr>
          <w:rFonts w:eastAsia="ArialMT" w:cs="Arial"/>
          <w:sz w:val="24"/>
          <w:szCs w:val="15"/>
        </w:rPr>
        <w:t>colegiado superior</w:t>
      </w:r>
      <w:r w:rsidRPr="00BB28B4">
        <w:rPr>
          <w:rFonts w:eastAsia="ArialMT" w:cs="Arial"/>
          <w:sz w:val="24"/>
          <w:szCs w:val="15"/>
        </w:rPr>
        <w:t xml:space="preserve"> sí justificó los motivos de su decisión; por lo que, de ninguna manera se aprecia que en la sentencia de vista se haya vulnerado el principio de la debida motivación; concluyéndose que la sentencia recurrida contiene la suficiente justificación fáctica y jurídica de la decisión adoptada, en tal sentido no se vulnera el artículo 139 inciso 5 de la Constitución Política del Perú, artículo 12 del Texto Único Ordenado de la Ley Orgánica del Poder Judicial y numerales 3 y 4 del artículo 122 del Código Procesal Civil, ya que se cumple con expresar las razones mínimas en las cuales basa su decisión, motivo por el cual resulta </w:t>
      </w:r>
      <w:r w:rsidRPr="00BB28B4">
        <w:rPr>
          <w:rFonts w:eastAsia="ArialMT" w:cs="Arial"/>
          <w:b/>
          <w:bCs/>
          <w:sz w:val="24"/>
          <w:szCs w:val="15"/>
        </w:rPr>
        <w:t xml:space="preserve">infundado </w:t>
      </w:r>
      <w:r w:rsidRPr="00BB28B4">
        <w:rPr>
          <w:rFonts w:eastAsia="ArialMT" w:cs="Arial"/>
          <w:sz w:val="24"/>
          <w:szCs w:val="15"/>
        </w:rPr>
        <w:t xml:space="preserve">el recurso de casación respecto a esta causal procesal denunciada. </w:t>
      </w:r>
      <w:r w:rsidRPr="00BB28B4">
        <w:rPr>
          <w:rFonts w:eastAsia="ArialMT" w:cs="Arial"/>
          <w:b/>
          <w:bCs/>
          <w:sz w:val="24"/>
          <w:szCs w:val="15"/>
        </w:rPr>
        <w:t xml:space="preserve">4. Decisión: </w:t>
      </w:r>
      <w:r w:rsidRPr="00BB28B4">
        <w:rPr>
          <w:rFonts w:eastAsia="ArialMT" w:cs="Arial"/>
          <w:sz w:val="24"/>
          <w:szCs w:val="15"/>
        </w:rPr>
        <w:t xml:space="preserve">Por tales consideraciones; en atención a lo dispuesto en el artículo 397 del Código Procesal Civil, de aplicación supletoria a los autos; declararon: </w:t>
      </w:r>
      <w:r w:rsidRPr="00BB28B4">
        <w:rPr>
          <w:rFonts w:eastAsia="ArialMT" w:cs="Arial"/>
          <w:b/>
          <w:bCs/>
          <w:sz w:val="24"/>
          <w:szCs w:val="15"/>
        </w:rPr>
        <w:t xml:space="preserve">infundado </w:t>
      </w:r>
      <w:r w:rsidRPr="00BB28B4">
        <w:rPr>
          <w:rFonts w:eastAsia="ArialMT" w:cs="Arial"/>
          <w:sz w:val="24"/>
          <w:szCs w:val="15"/>
        </w:rPr>
        <w:t xml:space="preserve">el recurso de casación interpuesto por la demandante, </w:t>
      </w:r>
      <w:r w:rsidRPr="00BB28B4">
        <w:rPr>
          <w:rFonts w:eastAsia="ArialMT" w:cs="Arial"/>
          <w:b/>
          <w:bCs/>
          <w:sz w:val="24"/>
          <w:szCs w:val="15"/>
        </w:rPr>
        <w:t>Southern Perú Copper Corporation Sucursal del Perú</w:t>
      </w:r>
      <w:r w:rsidRPr="00BB28B4">
        <w:rPr>
          <w:rFonts w:eastAsia="ArialMT" w:cs="Arial"/>
          <w:sz w:val="24"/>
          <w:szCs w:val="15"/>
        </w:rPr>
        <w:t xml:space="preserve">, mediante escrito de fecha veintidós de setiembre de dos mil veintiuno, que obra a fojas trescientos trece; en consecuencia, </w:t>
      </w:r>
      <w:r w:rsidRPr="00BB28B4">
        <w:rPr>
          <w:rFonts w:eastAsia="ArialMT" w:cs="Arial"/>
          <w:b/>
          <w:bCs/>
          <w:sz w:val="24"/>
          <w:szCs w:val="15"/>
        </w:rPr>
        <w:t xml:space="preserve">no casaron </w:t>
      </w:r>
      <w:r w:rsidRPr="00BB28B4">
        <w:rPr>
          <w:rFonts w:eastAsia="ArialMT" w:cs="Arial"/>
          <w:sz w:val="24"/>
          <w:szCs w:val="15"/>
        </w:rPr>
        <w:t xml:space="preserve">la sentencia de vista contenida en la resolución número cuatro de fecha doce de julio de dos mil veintiuno, obrante a fojas doscientos sesenta y siete. En los seguidos por la empresa recurrente contra el Organismo de Evaluación y Fiscalización Ambiental -OEFA-, sobre acción contenciosa administrativa; </w:t>
      </w:r>
      <w:r w:rsidRPr="00BB28B4">
        <w:rPr>
          <w:rFonts w:eastAsia="ArialMT" w:cs="Arial"/>
          <w:b/>
          <w:bCs/>
          <w:sz w:val="24"/>
          <w:szCs w:val="15"/>
        </w:rPr>
        <w:t xml:space="preserve">dispusieron </w:t>
      </w:r>
      <w:r w:rsidRPr="00BB28B4">
        <w:rPr>
          <w:rFonts w:eastAsia="ArialMT" w:cs="Arial"/>
          <w:sz w:val="24"/>
          <w:szCs w:val="15"/>
        </w:rPr>
        <w:t xml:space="preserve">la publicación de la presente resolución en el Diario Oficial </w:t>
      </w:r>
      <w:r w:rsidR="00AA56E3">
        <w:rPr>
          <w:rFonts w:eastAsia="ArialMT" w:cs="Arial"/>
          <w:sz w:val="24"/>
          <w:szCs w:val="15"/>
        </w:rPr>
        <w:t>"</w:t>
      </w:r>
      <w:r w:rsidRPr="00BB28B4">
        <w:rPr>
          <w:rFonts w:eastAsia="ArialMT" w:cs="Arial"/>
          <w:i/>
          <w:iCs/>
          <w:sz w:val="24"/>
          <w:szCs w:val="15"/>
        </w:rPr>
        <w:t>El Peruano</w:t>
      </w:r>
      <w:r w:rsidR="00AA56E3">
        <w:rPr>
          <w:rFonts w:eastAsia="ArialMT" w:cs="Arial"/>
          <w:i/>
          <w:iCs/>
          <w:sz w:val="24"/>
          <w:szCs w:val="15"/>
        </w:rPr>
        <w:t>"</w:t>
      </w:r>
      <w:r w:rsidRPr="00BB28B4">
        <w:rPr>
          <w:rFonts w:eastAsia="ArialMT" w:cs="Arial"/>
          <w:i/>
          <w:iCs/>
          <w:sz w:val="24"/>
          <w:szCs w:val="15"/>
        </w:rPr>
        <w:t xml:space="preserve"> </w:t>
      </w:r>
      <w:r w:rsidRPr="00BB28B4">
        <w:rPr>
          <w:rFonts w:eastAsia="ArialMT" w:cs="Arial"/>
          <w:sz w:val="24"/>
          <w:szCs w:val="15"/>
        </w:rPr>
        <w:t>conforme a ley; y los devolvieron. Interviene co</w:t>
      </w:r>
      <w:r w:rsidR="00AA56E3" w:rsidRPr="00BB28B4">
        <w:rPr>
          <w:rFonts w:eastAsia="ArialMT" w:cs="Arial"/>
          <w:sz w:val="24"/>
          <w:szCs w:val="15"/>
        </w:rPr>
        <w:t>mo juez suprem</w:t>
      </w:r>
      <w:r w:rsidRPr="00BB28B4">
        <w:rPr>
          <w:rFonts w:eastAsia="ArialMT" w:cs="Arial"/>
          <w:sz w:val="24"/>
          <w:szCs w:val="15"/>
        </w:rPr>
        <w:t xml:space="preserve">o ponente el señor </w:t>
      </w:r>
      <w:r w:rsidRPr="00BB28B4">
        <w:rPr>
          <w:rFonts w:eastAsia="ArialMT" w:cs="Arial"/>
          <w:b/>
          <w:bCs/>
          <w:sz w:val="24"/>
          <w:szCs w:val="15"/>
        </w:rPr>
        <w:t>Proaño Cueva</w:t>
      </w:r>
      <w:r w:rsidRPr="00BB28B4">
        <w:rPr>
          <w:rFonts w:eastAsia="ArialMT" w:cs="Arial"/>
          <w:sz w:val="24"/>
          <w:szCs w:val="15"/>
        </w:rPr>
        <w:t>.</w:t>
      </w:r>
    </w:p>
    <w:p w14:paraId="37017E90" w14:textId="77777777" w:rsidR="00BB28B4" w:rsidRPr="00BB28B4" w:rsidRDefault="00BB28B4" w:rsidP="00AA56E3">
      <w:pPr>
        <w:spacing w:before="120"/>
        <w:rPr>
          <w:rFonts w:eastAsia="ArialMT" w:cs="Arial"/>
          <w:sz w:val="24"/>
          <w:szCs w:val="15"/>
        </w:rPr>
      </w:pPr>
      <w:r w:rsidRPr="00BB28B4">
        <w:rPr>
          <w:rFonts w:eastAsia="ArialMT" w:cs="Arial"/>
          <w:sz w:val="24"/>
          <w:szCs w:val="15"/>
        </w:rPr>
        <w:t>S. S.</w:t>
      </w:r>
    </w:p>
    <w:p w14:paraId="18242A65" w14:textId="77777777" w:rsidR="00BB28B4" w:rsidRPr="00BB28B4" w:rsidRDefault="00BB28B4" w:rsidP="00AA56E3">
      <w:pPr>
        <w:spacing w:before="120"/>
        <w:rPr>
          <w:rFonts w:eastAsia="ArialMT" w:cs="Arial"/>
          <w:sz w:val="24"/>
          <w:szCs w:val="15"/>
        </w:rPr>
      </w:pPr>
      <w:r w:rsidRPr="00BB28B4">
        <w:rPr>
          <w:rFonts w:eastAsia="ArialMT" w:cs="Arial"/>
          <w:sz w:val="24"/>
          <w:szCs w:val="15"/>
        </w:rPr>
        <w:t>Proaño Cueva,</w:t>
      </w:r>
    </w:p>
    <w:p w14:paraId="5F48B427" w14:textId="77777777" w:rsidR="00BB28B4" w:rsidRPr="00BB28B4" w:rsidRDefault="00BB28B4" w:rsidP="00AA56E3">
      <w:pPr>
        <w:spacing w:before="120"/>
        <w:rPr>
          <w:rFonts w:eastAsia="ArialMT" w:cs="Arial"/>
          <w:sz w:val="24"/>
          <w:szCs w:val="15"/>
        </w:rPr>
      </w:pPr>
      <w:r w:rsidRPr="00BB28B4">
        <w:rPr>
          <w:rFonts w:eastAsia="ArialMT" w:cs="Arial"/>
          <w:sz w:val="24"/>
          <w:szCs w:val="15"/>
        </w:rPr>
        <w:t>Vera Lazo,</w:t>
      </w:r>
    </w:p>
    <w:p w14:paraId="253C59FE" w14:textId="77777777" w:rsidR="00BB28B4" w:rsidRPr="00BB28B4" w:rsidRDefault="00BB28B4" w:rsidP="00AA56E3">
      <w:pPr>
        <w:spacing w:before="120"/>
        <w:rPr>
          <w:rFonts w:eastAsia="ArialMT" w:cs="Arial"/>
          <w:sz w:val="24"/>
          <w:szCs w:val="15"/>
        </w:rPr>
      </w:pPr>
      <w:r w:rsidRPr="00BB28B4">
        <w:rPr>
          <w:rFonts w:eastAsia="ArialMT" w:cs="Arial"/>
          <w:sz w:val="24"/>
          <w:szCs w:val="15"/>
        </w:rPr>
        <w:t>Pereira Alagón,</w:t>
      </w:r>
    </w:p>
    <w:p w14:paraId="608F0B6B" w14:textId="77777777" w:rsidR="00BB28B4" w:rsidRPr="00BB28B4" w:rsidRDefault="00BB28B4" w:rsidP="00AA56E3">
      <w:pPr>
        <w:spacing w:before="120"/>
        <w:rPr>
          <w:rFonts w:eastAsia="ArialMT" w:cs="Arial"/>
          <w:sz w:val="24"/>
          <w:szCs w:val="15"/>
        </w:rPr>
      </w:pPr>
      <w:r w:rsidRPr="00BB28B4">
        <w:rPr>
          <w:rFonts w:eastAsia="ArialMT" w:cs="Arial"/>
          <w:sz w:val="24"/>
          <w:szCs w:val="15"/>
        </w:rPr>
        <w:lastRenderedPageBreak/>
        <w:t>Delgado Aybar,</w:t>
      </w:r>
    </w:p>
    <w:p w14:paraId="38B3F5D1" w14:textId="3BDE772F" w:rsidR="00BB28B4" w:rsidRPr="00BB28B4" w:rsidRDefault="00BB28B4" w:rsidP="00AA56E3">
      <w:pPr>
        <w:spacing w:before="120"/>
        <w:rPr>
          <w:rFonts w:cs="Arial"/>
          <w:sz w:val="24"/>
        </w:rPr>
      </w:pPr>
      <w:r w:rsidRPr="00BB28B4">
        <w:rPr>
          <w:rFonts w:eastAsia="ArialMT" w:cs="Arial"/>
          <w:sz w:val="24"/>
          <w:szCs w:val="15"/>
        </w:rPr>
        <w:t>Gutiérrez Remón</w:t>
      </w:r>
    </w:p>
    <w:p w14:paraId="42A23281" w14:textId="63A0A52B" w:rsidR="00BB28B4" w:rsidRPr="00BB28B4" w:rsidRDefault="00BB28B4" w:rsidP="00AA56E3">
      <w:pPr>
        <w:spacing w:before="120"/>
        <w:rPr>
          <w:rFonts w:cs="Arial"/>
          <w:sz w:val="24"/>
        </w:rPr>
      </w:pPr>
      <w:r w:rsidRPr="00BB28B4">
        <w:rPr>
          <w:rFonts w:cs="Arial"/>
          <w:sz w:val="24"/>
        </w:rPr>
        <w:t>__________</w:t>
      </w:r>
    </w:p>
    <w:p w14:paraId="11EB4679" w14:textId="75D3708B" w:rsidR="00BB28B4" w:rsidRPr="00D97A59" w:rsidRDefault="00BB28B4" w:rsidP="00AA56E3">
      <w:pPr>
        <w:autoSpaceDE w:val="0"/>
        <w:autoSpaceDN w:val="0"/>
        <w:adjustRightInd w:val="0"/>
        <w:spacing w:before="120"/>
        <w:rPr>
          <w:rFonts w:cs="Arial"/>
          <w:szCs w:val="13"/>
        </w:rPr>
      </w:pPr>
      <w:r w:rsidRPr="00D97A59">
        <w:rPr>
          <w:rFonts w:cs="Arial"/>
          <w:szCs w:val="8"/>
        </w:rPr>
        <w:t xml:space="preserve">1 </w:t>
      </w:r>
      <w:r w:rsidRPr="00D97A59">
        <w:rPr>
          <w:rFonts w:cs="Arial"/>
          <w:szCs w:val="13"/>
        </w:rPr>
        <w:t xml:space="preserve">Roger E. Zavaleta Rodríguez, </w:t>
      </w:r>
      <w:r w:rsidR="00AA56E3">
        <w:rPr>
          <w:rFonts w:cs="Arial"/>
          <w:szCs w:val="13"/>
        </w:rPr>
        <w:t>"</w:t>
      </w:r>
      <w:r w:rsidRPr="00D97A59">
        <w:rPr>
          <w:rFonts w:cs="Arial"/>
          <w:szCs w:val="13"/>
        </w:rPr>
        <w:t>La motivación de las resoluciones judiciales como argumentación jurídica</w:t>
      </w:r>
      <w:r w:rsidR="00AA56E3">
        <w:rPr>
          <w:rFonts w:cs="Arial"/>
          <w:szCs w:val="13"/>
        </w:rPr>
        <w:t>"</w:t>
      </w:r>
      <w:r w:rsidRPr="00D97A59">
        <w:rPr>
          <w:rFonts w:cs="Arial"/>
          <w:szCs w:val="13"/>
        </w:rPr>
        <w:t>, Editora y Librería Jurídica Grijley EIRL 2014, pág. 207-208.</w:t>
      </w:r>
    </w:p>
    <w:p w14:paraId="09FB5412" w14:textId="77777777" w:rsidR="00BB28B4" w:rsidRPr="00D97A59" w:rsidRDefault="00BB28B4" w:rsidP="00AA56E3">
      <w:pPr>
        <w:autoSpaceDE w:val="0"/>
        <w:autoSpaceDN w:val="0"/>
        <w:adjustRightInd w:val="0"/>
        <w:spacing w:before="120"/>
        <w:rPr>
          <w:rFonts w:cs="Arial"/>
          <w:szCs w:val="13"/>
        </w:rPr>
      </w:pPr>
      <w:r w:rsidRPr="00D97A59">
        <w:rPr>
          <w:rFonts w:cs="Arial"/>
          <w:szCs w:val="8"/>
        </w:rPr>
        <w:t xml:space="preserve">2 </w:t>
      </w:r>
      <w:r w:rsidRPr="00D97A59">
        <w:rPr>
          <w:rFonts w:cs="Arial"/>
          <w:szCs w:val="13"/>
        </w:rPr>
        <w:t>Artículo 50.- Son deberes de los Jueces en el proceso:</w:t>
      </w:r>
    </w:p>
    <w:p w14:paraId="09D4EE4A" w14:textId="57478DED" w:rsidR="00BB28B4" w:rsidRPr="00D97A59" w:rsidRDefault="00BB28B4" w:rsidP="00AA56E3">
      <w:pPr>
        <w:autoSpaceDE w:val="0"/>
        <w:autoSpaceDN w:val="0"/>
        <w:adjustRightInd w:val="0"/>
        <w:spacing w:before="120"/>
        <w:rPr>
          <w:rFonts w:cs="Arial"/>
          <w:szCs w:val="13"/>
        </w:rPr>
      </w:pPr>
      <w:r w:rsidRPr="00D97A59">
        <w:rPr>
          <w:rFonts w:cs="Arial"/>
          <w:szCs w:val="13"/>
        </w:rPr>
        <w:t>(...)</w:t>
      </w:r>
      <w:r w:rsidR="00AA56E3">
        <w:rPr>
          <w:rFonts w:cs="Arial"/>
          <w:szCs w:val="13"/>
        </w:rPr>
        <w:t>.</w:t>
      </w:r>
    </w:p>
    <w:p w14:paraId="796ED1C7" w14:textId="1BC7720B" w:rsidR="00BB28B4" w:rsidRPr="00D97A59" w:rsidRDefault="00BB28B4" w:rsidP="00AA56E3">
      <w:pPr>
        <w:autoSpaceDE w:val="0"/>
        <w:autoSpaceDN w:val="0"/>
        <w:adjustRightInd w:val="0"/>
        <w:spacing w:before="120"/>
        <w:rPr>
          <w:rFonts w:cs="Arial"/>
          <w:szCs w:val="13"/>
        </w:rPr>
      </w:pPr>
      <w:r w:rsidRPr="00D97A59">
        <w:rPr>
          <w:rFonts w:cs="Arial"/>
          <w:szCs w:val="13"/>
        </w:rPr>
        <w:t>6. Fundamentar los autos y las sentencias, bajo sanción de nulidad, respetando los principios de jerarquía de las normas y el de congruencia.</w:t>
      </w:r>
    </w:p>
    <w:p w14:paraId="39BA5555" w14:textId="2D7CE2A0" w:rsidR="00BB28B4" w:rsidRPr="00D97A59" w:rsidRDefault="00BB28B4" w:rsidP="00AA56E3">
      <w:pPr>
        <w:autoSpaceDE w:val="0"/>
        <w:autoSpaceDN w:val="0"/>
        <w:adjustRightInd w:val="0"/>
        <w:spacing w:before="120"/>
        <w:rPr>
          <w:rFonts w:cs="Arial"/>
          <w:szCs w:val="13"/>
        </w:rPr>
      </w:pPr>
      <w:r w:rsidRPr="00D97A59">
        <w:rPr>
          <w:rFonts w:cs="Arial"/>
          <w:szCs w:val="13"/>
        </w:rPr>
        <w:t xml:space="preserve">El </w:t>
      </w:r>
      <w:r w:rsidR="00AA56E3" w:rsidRPr="00D97A59">
        <w:rPr>
          <w:rFonts w:cs="Arial"/>
          <w:szCs w:val="13"/>
        </w:rPr>
        <w:t xml:space="preserve">juez </w:t>
      </w:r>
      <w:r w:rsidRPr="00D97A59">
        <w:rPr>
          <w:rFonts w:cs="Arial"/>
          <w:szCs w:val="13"/>
        </w:rPr>
        <w:t xml:space="preserve">que inicia la audiencia de pruebas concluirá el proceso, salvo que fuera promovido o separado. El </w:t>
      </w:r>
      <w:r w:rsidR="00AA56E3" w:rsidRPr="00D97A59">
        <w:rPr>
          <w:rFonts w:cs="Arial"/>
          <w:szCs w:val="13"/>
        </w:rPr>
        <w:t xml:space="preserve">juez </w:t>
      </w:r>
      <w:r w:rsidRPr="00D97A59">
        <w:rPr>
          <w:rFonts w:cs="Arial"/>
          <w:szCs w:val="13"/>
        </w:rPr>
        <w:t>sustituto continuará el proceso, pero puede ordenar, en resolución debidamente motivada, que se repitan las audiencias, si lo considera indispensable.</w:t>
      </w:r>
    </w:p>
    <w:p w14:paraId="3C686C8E" w14:textId="2B0ED1F1" w:rsidR="00BB28B4" w:rsidRPr="00D97A59" w:rsidRDefault="00BB28B4" w:rsidP="00AA56E3">
      <w:pPr>
        <w:autoSpaceDE w:val="0"/>
        <w:autoSpaceDN w:val="0"/>
        <w:adjustRightInd w:val="0"/>
        <w:spacing w:before="120"/>
        <w:rPr>
          <w:rFonts w:cs="Arial"/>
          <w:szCs w:val="13"/>
        </w:rPr>
      </w:pPr>
      <w:r w:rsidRPr="00D97A59">
        <w:rPr>
          <w:rFonts w:cs="Arial"/>
          <w:szCs w:val="13"/>
        </w:rPr>
        <w:t>(...)</w:t>
      </w:r>
      <w:r w:rsidR="00AA56E3">
        <w:rPr>
          <w:rFonts w:cs="Arial"/>
          <w:szCs w:val="13"/>
        </w:rPr>
        <w:t>.</w:t>
      </w:r>
    </w:p>
    <w:p w14:paraId="0D1952CA" w14:textId="77777777" w:rsidR="00BB28B4" w:rsidRPr="00D97A59" w:rsidRDefault="00BB28B4" w:rsidP="00AA56E3">
      <w:pPr>
        <w:autoSpaceDE w:val="0"/>
        <w:autoSpaceDN w:val="0"/>
        <w:adjustRightInd w:val="0"/>
        <w:spacing w:before="120"/>
        <w:rPr>
          <w:rFonts w:cs="Arial"/>
          <w:szCs w:val="13"/>
        </w:rPr>
      </w:pPr>
      <w:r w:rsidRPr="00D97A59">
        <w:rPr>
          <w:rFonts w:cs="Arial"/>
          <w:szCs w:val="8"/>
        </w:rPr>
        <w:t xml:space="preserve">3 </w:t>
      </w:r>
      <w:r w:rsidRPr="00D97A59">
        <w:rPr>
          <w:rFonts w:cs="Arial"/>
          <w:szCs w:val="13"/>
        </w:rPr>
        <w:t>Artículo 122 del Código Procesal Civil.- Las resoluciones contienen:</w:t>
      </w:r>
    </w:p>
    <w:p w14:paraId="1F89C2A3" w14:textId="7298DEC4" w:rsidR="00BB28B4" w:rsidRPr="00D97A59" w:rsidRDefault="00BB28B4" w:rsidP="00AA56E3">
      <w:pPr>
        <w:autoSpaceDE w:val="0"/>
        <w:autoSpaceDN w:val="0"/>
        <w:adjustRightInd w:val="0"/>
        <w:spacing w:before="120"/>
        <w:rPr>
          <w:rFonts w:cs="Arial"/>
          <w:szCs w:val="13"/>
        </w:rPr>
      </w:pPr>
      <w:r w:rsidRPr="00D97A59">
        <w:rPr>
          <w:rFonts w:cs="Arial"/>
          <w:szCs w:val="13"/>
        </w:rPr>
        <w:t>(...)</w:t>
      </w:r>
      <w:r w:rsidR="00AA56E3">
        <w:rPr>
          <w:rFonts w:cs="Arial"/>
          <w:szCs w:val="13"/>
        </w:rPr>
        <w:t>.</w:t>
      </w:r>
    </w:p>
    <w:p w14:paraId="22D07935" w14:textId="33E08BC5" w:rsidR="00BB28B4" w:rsidRPr="00D97A59" w:rsidRDefault="00BB28B4" w:rsidP="00AA56E3">
      <w:pPr>
        <w:autoSpaceDE w:val="0"/>
        <w:autoSpaceDN w:val="0"/>
        <w:adjustRightInd w:val="0"/>
        <w:spacing w:before="120"/>
        <w:rPr>
          <w:rFonts w:cs="Arial"/>
          <w:szCs w:val="13"/>
        </w:rPr>
      </w:pPr>
      <w:r w:rsidRPr="00D97A59">
        <w:rPr>
          <w:rFonts w:cs="Arial"/>
          <w:szCs w:val="13"/>
        </w:rPr>
        <w:t>3. La mención sucesiva de los puntos sobre los que versa la resolución con las consideraciones, en orden numérico correlativo, de los fundamentos de hecho que sustentan la decisión, y los respectivos de derecho con la cita de la norma o normas aplicables en cada punto, según el mérito de lo actuado;</w:t>
      </w:r>
    </w:p>
    <w:p w14:paraId="0FABD5E1" w14:textId="4EB5316D" w:rsidR="00BB28B4" w:rsidRPr="00D97A59" w:rsidRDefault="00BB28B4" w:rsidP="00AA56E3">
      <w:pPr>
        <w:autoSpaceDE w:val="0"/>
        <w:autoSpaceDN w:val="0"/>
        <w:adjustRightInd w:val="0"/>
        <w:spacing w:before="120"/>
        <w:rPr>
          <w:rFonts w:cs="Arial"/>
          <w:szCs w:val="13"/>
        </w:rPr>
      </w:pPr>
      <w:r w:rsidRPr="00D97A59">
        <w:rPr>
          <w:rFonts w:cs="Arial"/>
          <w:szCs w:val="13"/>
        </w:rPr>
        <w:t xml:space="preserve">4. La expresión clara y precisa de lo que se decide u ordena, respecto de todos los puntos controvertidos. Si el </w:t>
      </w:r>
      <w:r w:rsidR="00AA56E3" w:rsidRPr="00D97A59">
        <w:rPr>
          <w:rFonts w:cs="Arial"/>
          <w:szCs w:val="13"/>
        </w:rPr>
        <w:t xml:space="preserve">juez </w:t>
      </w:r>
      <w:r w:rsidRPr="00D97A59">
        <w:rPr>
          <w:rFonts w:cs="Arial"/>
          <w:szCs w:val="13"/>
        </w:rPr>
        <w:t>denegase una petición por falta de algún requisito o por una cita errónea de la norma aplicable a su criterio, deberá en forma expresa indicar el requisito faltante y la norma correspondiente</w:t>
      </w:r>
    </w:p>
    <w:p w14:paraId="4E38C851" w14:textId="1835F5B2" w:rsidR="00BB28B4" w:rsidRPr="00D97A59" w:rsidRDefault="00BB28B4" w:rsidP="00AA56E3">
      <w:pPr>
        <w:autoSpaceDE w:val="0"/>
        <w:autoSpaceDN w:val="0"/>
        <w:adjustRightInd w:val="0"/>
        <w:spacing w:before="120"/>
        <w:rPr>
          <w:rFonts w:cs="Arial"/>
          <w:szCs w:val="13"/>
        </w:rPr>
      </w:pPr>
      <w:r w:rsidRPr="00D97A59">
        <w:rPr>
          <w:rFonts w:cs="Arial"/>
          <w:szCs w:val="13"/>
        </w:rPr>
        <w:t>(...)</w:t>
      </w:r>
      <w:r w:rsidR="00AA56E3">
        <w:rPr>
          <w:rFonts w:cs="Arial"/>
          <w:szCs w:val="13"/>
        </w:rPr>
        <w:t>.</w:t>
      </w:r>
    </w:p>
    <w:p w14:paraId="2453ACF3" w14:textId="77777777" w:rsidR="00BB28B4" w:rsidRPr="00D97A59" w:rsidRDefault="00BB28B4" w:rsidP="00AA56E3">
      <w:pPr>
        <w:autoSpaceDE w:val="0"/>
        <w:autoSpaceDN w:val="0"/>
        <w:adjustRightInd w:val="0"/>
        <w:spacing w:before="120"/>
        <w:rPr>
          <w:rFonts w:cs="Arial"/>
          <w:szCs w:val="13"/>
        </w:rPr>
      </w:pPr>
      <w:r w:rsidRPr="00D97A59">
        <w:rPr>
          <w:rFonts w:cs="Arial"/>
          <w:szCs w:val="8"/>
        </w:rPr>
        <w:t xml:space="preserve">4 </w:t>
      </w:r>
      <w:r w:rsidRPr="00D97A59">
        <w:rPr>
          <w:rFonts w:cs="Arial"/>
          <w:szCs w:val="13"/>
        </w:rPr>
        <w:t>Artículo 12 del Texto Único Ordenado de la Ley Orgánica del Poder Judicial.-</w:t>
      </w:r>
    </w:p>
    <w:p w14:paraId="64F3F1C9" w14:textId="5A5B8E3E" w:rsidR="00BB28B4" w:rsidRPr="00D97A59" w:rsidRDefault="00BB28B4" w:rsidP="00AA56E3">
      <w:pPr>
        <w:autoSpaceDE w:val="0"/>
        <w:autoSpaceDN w:val="0"/>
        <w:adjustRightInd w:val="0"/>
        <w:spacing w:before="120"/>
        <w:rPr>
          <w:rFonts w:cs="Arial"/>
          <w:szCs w:val="13"/>
        </w:rPr>
      </w:pPr>
      <w:r w:rsidRPr="00D97A59">
        <w:rPr>
          <w:rFonts w:cs="Arial"/>
          <w:szCs w:val="13"/>
        </w:rPr>
        <w:t>Todas las resoluciones, con exclusión de las de mero trámite, son motivadas, bajo responsabilidad, con expresión de los fundamentos en que se sustentan. Esta disposición alcanza a los órganos jurisdiccionales de segunda instancia que absuelven el grado, en cuyo caso, la reproducción de los fundamentos de la resolución recurrida, no constituye motivación suficiente.</w:t>
      </w:r>
    </w:p>
    <w:p w14:paraId="366D06F5" w14:textId="412C0555" w:rsidR="00BB28B4" w:rsidRPr="00D97A59" w:rsidRDefault="00BB28B4" w:rsidP="00AA56E3">
      <w:pPr>
        <w:spacing w:before="120"/>
        <w:rPr>
          <w:rFonts w:cs="Arial"/>
          <w:szCs w:val="13"/>
        </w:rPr>
      </w:pPr>
      <w:r w:rsidRPr="00D97A59">
        <w:rPr>
          <w:rFonts w:cs="Arial"/>
          <w:szCs w:val="8"/>
        </w:rPr>
        <w:t xml:space="preserve">5 </w:t>
      </w:r>
      <w:r w:rsidRPr="00D97A59">
        <w:rPr>
          <w:rFonts w:cs="Arial"/>
          <w:szCs w:val="13"/>
        </w:rPr>
        <w:t>STC 00728-2008-HC, fundamento 7, literal d)</w:t>
      </w:r>
    </w:p>
    <w:p w14:paraId="3F975900" w14:textId="6C938643" w:rsidR="00BB28B4" w:rsidRPr="00BB28B4" w:rsidRDefault="00BB28B4" w:rsidP="00AA56E3">
      <w:pPr>
        <w:spacing w:before="120"/>
        <w:jc w:val="center"/>
        <w:rPr>
          <w:rFonts w:cs="Arial"/>
        </w:rPr>
      </w:pPr>
      <w:r w:rsidRPr="00BB28B4">
        <w:rPr>
          <w:rFonts w:cs="Arial"/>
        </w:rPr>
        <w:t xml:space="preserve">Documento publicado en el Diario Oficial </w:t>
      </w:r>
      <w:r w:rsidR="00AA56E3">
        <w:rPr>
          <w:rFonts w:cs="Arial"/>
        </w:rPr>
        <w:t>"</w:t>
      </w:r>
      <w:r w:rsidRPr="00BB28B4">
        <w:rPr>
          <w:rFonts w:cs="Arial"/>
        </w:rPr>
        <w:t>El Peruano</w:t>
      </w:r>
      <w:r w:rsidR="00AA56E3">
        <w:rPr>
          <w:rFonts w:cs="Arial"/>
        </w:rPr>
        <w:t>"</w:t>
      </w:r>
      <w:r w:rsidRPr="00BB28B4">
        <w:rPr>
          <w:rFonts w:cs="Arial"/>
        </w:rPr>
        <w:t xml:space="preserve"> el </w:t>
      </w:r>
      <w:r>
        <w:rPr>
          <w:rFonts w:cs="Arial"/>
        </w:rPr>
        <w:t xml:space="preserve">22 </w:t>
      </w:r>
      <w:r w:rsidRPr="00BB28B4">
        <w:rPr>
          <w:rFonts w:cs="Arial"/>
        </w:rPr>
        <w:t xml:space="preserve">de </w:t>
      </w:r>
      <w:r>
        <w:rPr>
          <w:rFonts w:cs="Arial"/>
        </w:rPr>
        <w:t>noviembre</w:t>
      </w:r>
      <w:r w:rsidRPr="00BB28B4">
        <w:rPr>
          <w:rFonts w:cs="Arial"/>
        </w:rPr>
        <w:t xml:space="preserve"> del 2024.</w:t>
      </w:r>
    </w:p>
    <w:sectPr w:rsidR="00BB28B4" w:rsidRPr="00BB28B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AB8D6" w14:textId="77777777" w:rsidR="00C17746" w:rsidRDefault="00C17746" w:rsidP="00BB28B4">
      <w:r>
        <w:separator/>
      </w:r>
    </w:p>
  </w:endnote>
  <w:endnote w:type="continuationSeparator" w:id="0">
    <w:p w14:paraId="73454547" w14:textId="77777777" w:rsidR="00C17746" w:rsidRDefault="00C17746" w:rsidP="00BB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DFGothic-EB"/>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B116" w14:textId="2D24260B" w:rsidR="00BB28B4" w:rsidRPr="00AA56E3" w:rsidRDefault="00BB28B4" w:rsidP="00AA56E3">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342EC699" wp14:editId="2C05C871">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D9E77" w14:textId="77777777" w:rsidR="00C17746" w:rsidRDefault="00C17746" w:rsidP="00BB28B4">
      <w:r>
        <w:separator/>
      </w:r>
    </w:p>
  </w:footnote>
  <w:footnote w:type="continuationSeparator" w:id="0">
    <w:p w14:paraId="27DC404D" w14:textId="77777777" w:rsidR="00C17746" w:rsidRDefault="00C17746" w:rsidP="00BB2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B34BC" w14:textId="3D309D23" w:rsidR="00BB28B4" w:rsidRDefault="00BB28B4" w:rsidP="00AA56E3">
    <w:pPr>
      <w:pStyle w:val="Encabezado"/>
      <w:spacing w:after="240"/>
    </w:pPr>
    <w:r>
      <w:rPr>
        <w:noProof/>
        <w:lang w:eastAsia="es-PE"/>
      </w:rPr>
      <w:drawing>
        <wp:inline distT="0" distB="0" distL="0" distR="0" wp14:anchorId="65D35E05" wp14:editId="583D27E7">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B4"/>
    <w:rsid w:val="0002405D"/>
    <w:rsid w:val="000526BE"/>
    <w:rsid w:val="00096CEC"/>
    <w:rsid w:val="00133291"/>
    <w:rsid w:val="001E6819"/>
    <w:rsid w:val="002017D0"/>
    <w:rsid w:val="00580259"/>
    <w:rsid w:val="00615327"/>
    <w:rsid w:val="007F0EA7"/>
    <w:rsid w:val="008066EB"/>
    <w:rsid w:val="008F2267"/>
    <w:rsid w:val="00AA3083"/>
    <w:rsid w:val="00AA56E3"/>
    <w:rsid w:val="00BB28B4"/>
    <w:rsid w:val="00BB3261"/>
    <w:rsid w:val="00C17746"/>
    <w:rsid w:val="00C32D53"/>
    <w:rsid w:val="00D361DE"/>
    <w:rsid w:val="00D97A59"/>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BB28B4"/>
    <w:pPr>
      <w:tabs>
        <w:tab w:val="center" w:pos="4252"/>
        <w:tab w:val="right" w:pos="8504"/>
      </w:tabs>
    </w:pPr>
  </w:style>
  <w:style w:type="character" w:customStyle="1" w:styleId="EncabezadoCar">
    <w:name w:val="Encabezado Car"/>
    <w:basedOn w:val="Fuentedeprrafopredeter"/>
    <w:link w:val="Encabezado"/>
    <w:uiPriority w:val="99"/>
    <w:rsid w:val="00BB28B4"/>
    <w:rPr>
      <w:rFonts w:ascii="Arial" w:hAnsi="Arial"/>
      <w:sz w:val="20"/>
    </w:rPr>
  </w:style>
  <w:style w:type="paragraph" w:styleId="Piedepgina">
    <w:name w:val="footer"/>
    <w:basedOn w:val="Normal"/>
    <w:link w:val="PiedepginaCar"/>
    <w:uiPriority w:val="99"/>
    <w:unhideWhenUsed/>
    <w:rsid w:val="00BB28B4"/>
    <w:pPr>
      <w:tabs>
        <w:tab w:val="center" w:pos="4252"/>
        <w:tab w:val="right" w:pos="8504"/>
      </w:tabs>
    </w:pPr>
  </w:style>
  <w:style w:type="character" w:customStyle="1" w:styleId="PiedepginaCar">
    <w:name w:val="Pie de página Car"/>
    <w:basedOn w:val="Fuentedeprrafopredeter"/>
    <w:link w:val="Piedepgina"/>
    <w:uiPriority w:val="99"/>
    <w:rsid w:val="00BB28B4"/>
    <w:rPr>
      <w:rFonts w:ascii="Arial" w:hAnsi="Arial"/>
      <w:sz w:val="20"/>
    </w:rPr>
  </w:style>
  <w:style w:type="paragraph" w:styleId="Textodeglobo">
    <w:name w:val="Balloon Text"/>
    <w:basedOn w:val="Normal"/>
    <w:link w:val="TextodegloboCar"/>
    <w:uiPriority w:val="99"/>
    <w:semiHidden/>
    <w:unhideWhenUsed/>
    <w:rsid w:val="00AA56E3"/>
    <w:rPr>
      <w:rFonts w:ascii="Tahoma" w:hAnsi="Tahoma" w:cs="Tahoma"/>
      <w:sz w:val="16"/>
      <w:szCs w:val="16"/>
    </w:rPr>
  </w:style>
  <w:style w:type="character" w:customStyle="1" w:styleId="TextodegloboCar">
    <w:name w:val="Texto de globo Car"/>
    <w:basedOn w:val="Fuentedeprrafopredeter"/>
    <w:link w:val="Textodeglobo"/>
    <w:uiPriority w:val="99"/>
    <w:semiHidden/>
    <w:rsid w:val="00AA56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BB28B4"/>
    <w:pPr>
      <w:tabs>
        <w:tab w:val="center" w:pos="4252"/>
        <w:tab w:val="right" w:pos="8504"/>
      </w:tabs>
    </w:pPr>
  </w:style>
  <w:style w:type="character" w:customStyle="1" w:styleId="EncabezadoCar">
    <w:name w:val="Encabezado Car"/>
    <w:basedOn w:val="Fuentedeprrafopredeter"/>
    <w:link w:val="Encabezado"/>
    <w:uiPriority w:val="99"/>
    <w:rsid w:val="00BB28B4"/>
    <w:rPr>
      <w:rFonts w:ascii="Arial" w:hAnsi="Arial"/>
      <w:sz w:val="20"/>
    </w:rPr>
  </w:style>
  <w:style w:type="paragraph" w:styleId="Piedepgina">
    <w:name w:val="footer"/>
    <w:basedOn w:val="Normal"/>
    <w:link w:val="PiedepginaCar"/>
    <w:uiPriority w:val="99"/>
    <w:unhideWhenUsed/>
    <w:rsid w:val="00BB28B4"/>
    <w:pPr>
      <w:tabs>
        <w:tab w:val="center" w:pos="4252"/>
        <w:tab w:val="right" w:pos="8504"/>
      </w:tabs>
    </w:pPr>
  </w:style>
  <w:style w:type="character" w:customStyle="1" w:styleId="PiedepginaCar">
    <w:name w:val="Pie de página Car"/>
    <w:basedOn w:val="Fuentedeprrafopredeter"/>
    <w:link w:val="Piedepgina"/>
    <w:uiPriority w:val="99"/>
    <w:rsid w:val="00BB28B4"/>
    <w:rPr>
      <w:rFonts w:ascii="Arial" w:hAnsi="Arial"/>
      <w:sz w:val="20"/>
    </w:rPr>
  </w:style>
  <w:style w:type="paragraph" w:styleId="Textodeglobo">
    <w:name w:val="Balloon Text"/>
    <w:basedOn w:val="Normal"/>
    <w:link w:val="TextodegloboCar"/>
    <w:uiPriority w:val="99"/>
    <w:semiHidden/>
    <w:unhideWhenUsed/>
    <w:rsid w:val="00AA56E3"/>
    <w:rPr>
      <w:rFonts w:ascii="Tahoma" w:hAnsi="Tahoma" w:cs="Tahoma"/>
      <w:sz w:val="16"/>
      <w:szCs w:val="16"/>
    </w:rPr>
  </w:style>
  <w:style w:type="character" w:customStyle="1" w:styleId="TextodegloboCar">
    <w:name w:val="Texto de globo Car"/>
    <w:basedOn w:val="Fuentedeprrafopredeter"/>
    <w:link w:val="Textodeglobo"/>
    <w:uiPriority w:val="99"/>
    <w:semiHidden/>
    <w:rsid w:val="00AA56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6408</Words>
  <Characters>35247</Characters>
  <Application>Microsoft Office Word</Application>
  <DocSecurity>0</DocSecurity>
  <Lines>293</Lines>
  <Paragraphs>83</Paragraphs>
  <ScaleCrop>false</ScaleCrop>
  <Company/>
  <LinksUpToDate>false</LinksUpToDate>
  <CharactersWithSpaces>41572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cp:lastModifiedBy>
  <cp:revision>3</cp:revision>
  <dcterms:created xsi:type="dcterms:W3CDTF">2024-12-11T16:02:00Z</dcterms:created>
  <dcterms:modified xsi:type="dcterms:W3CDTF">2024-12-11T20:03:00Z</dcterms:modified>
</cp:coreProperties>
</file>